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25" w:rsidRDefault="00964C25" w:rsidP="00964C25">
      <w:pPr>
        <w:spacing w:after="17"/>
        <w:ind w:right="1219"/>
      </w:pPr>
    </w:p>
    <w:p w:rsidR="00964C25" w:rsidRDefault="00964C25" w:rsidP="00964C25">
      <w:pPr>
        <w:tabs>
          <w:tab w:val="left" w:pos="5103"/>
        </w:tabs>
        <w:spacing w:after="17"/>
        <w:ind w:left="4340" w:right="1219"/>
        <w:rPr>
          <w:rFonts w:ascii="Times New Roman" w:hAnsi="Times New Roman" w:cs="Times New Roman"/>
        </w:rPr>
      </w:pPr>
      <w:r w:rsidRPr="00964C25">
        <w:rPr>
          <w:rFonts w:ascii="Times New Roman" w:hAnsi="Times New Roman" w:cs="Times New Roman"/>
        </w:rPr>
        <w:t xml:space="preserve">Утверждаю </w:t>
      </w:r>
    </w:p>
    <w:p w:rsidR="00964C25" w:rsidRDefault="00E340B4" w:rsidP="00964C25">
      <w:pPr>
        <w:tabs>
          <w:tab w:val="left" w:pos="5103"/>
        </w:tabs>
        <w:spacing w:after="17"/>
        <w:ind w:left="4340" w:right="1219"/>
        <w:rPr>
          <w:rFonts w:ascii="Times New Roman" w:hAnsi="Times New Roman" w:cs="Times New Roman"/>
        </w:rPr>
      </w:pPr>
      <w:r>
        <w:rPr>
          <w:rFonts w:ascii="Times New Roman" w:hAnsi="Times New Roman" w:cs="Times New Roman"/>
        </w:rPr>
        <w:t>Директор Мурманского филиала</w:t>
      </w:r>
    </w:p>
    <w:p w:rsidR="00E340B4" w:rsidRDefault="00E340B4" w:rsidP="00964C25">
      <w:pPr>
        <w:tabs>
          <w:tab w:val="left" w:pos="5103"/>
        </w:tabs>
        <w:spacing w:after="17"/>
        <w:ind w:left="4340" w:right="1219"/>
        <w:rPr>
          <w:rFonts w:ascii="Times New Roman" w:hAnsi="Times New Roman" w:cs="Times New Roman"/>
        </w:rPr>
      </w:pPr>
      <w:r>
        <w:rPr>
          <w:rFonts w:ascii="Times New Roman" w:hAnsi="Times New Roman" w:cs="Times New Roman"/>
        </w:rPr>
        <w:t xml:space="preserve">ООО «НОВАПОРТ </w:t>
      </w:r>
      <w:proofErr w:type="spellStart"/>
      <w:r>
        <w:rPr>
          <w:rFonts w:ascii="Times New Roman" w:hAnsi="Times New Roman" w:cs="Times New Roman"/>
        </w:rPr>
        <w:t>Трейдинг</w:t>
      </w:r>
      <w:proofErr w:type="spellEnd"/>
      <w:r>
        <w:rPr>
          <w:rFonts w:ascii="Times New Roman" w:hAnsi="Times New Roman" w:cs="Times New Roman"/>
        </w:rPr>
        <w:t>»</w:t>
      </w:r>
    </w:p>
    <w:p w:rsidR="00964C25" w:rsidRDefault="00964C25" w:rsidP="00964C25">
      <w:pPr>
        <w:tabs>
          <w:tab w:val="left" w:pos="5103"/>
        </w:tabs>
        <w:spacing w:after="17"/>
        <w:ind w:left="4340" w:right="1219"/>
        <w:rPr>
          <w:rFonts w:ascii="Times New Roman" w:hAnsi="Times New Roman" w:cs="Times New Roman"/>
        </w:rPr>
      </w:pPr>
    </w:p>
    <w:p w:rsidR="00964C25" w:rsidRDefault="00964C25" w:rsidP="00964C25">
      <w:pPr>
        <w:tabs>
          <w:tab w:val="left" w:pos="5103"/>
        </w:tabs>
        <w:spacing w:after="17"/>
        <w:ind w:left="4340" w:right="1219"/>
        <w:rPr>
          <w:rFonts w:ascii="Times New Roman" w:hAnsi="Times New Roman" w:cs="Times New Roman"/>
        </w:rPr>
      </w:pPr>
      <w:r>
        <w:rPr>
          <w:rFonts w:ascii="Times New Roman" w:hAnsi="Times New Roman" w:cs="Times New Roman"/>
        </w:rPr>
        <w:t>_____________________</w:t>
      </w:r>
      <w:proofErr w:type="spellStart"/>
      <w:r w:rsidR="00E340B4">
        <w:rPr>
          <w:rFonts w:ascii="Times New Roman" w:hAnsi="Times New Roman" w:cs="Times New Roman"/>
        </w:rPr>
        <w:t>Смотрова</w:t>
      </w:r>
      <w:proofErr w:type="spellEnd"/>
      <w:r w:rsidR="00E340B4">
        <w:rPr>
          <w:rFonts w:ascii="Times New Roman" w:hAnsi="Times New Roman" w:cs="Times New Roman"/>
        </w:rPr>
        <w:t xml:space="preserve"> А.С.</w:t>
      </w:r>
    </w:p>
    <w:p w:rsidR="00964C25" w:rsidRPr="00964C25" w:rsidRDefault="004808A4" w:rsidP="00964C25">
      <w:pPr>
        <w:tabs>
          <w:tab w:val="left" w:pos="5103"/>
        </w:tabs>
        <w:spacing w:after="17"/>
        <w:ind w:left="4340" w:right="1219"/>
        <w:rPr>
          <w:rFonts w:ascii="Times New Roman" w:hAnsi="Times New Roman" w:cs="Times New Roman"/>
        </w:rPr>
      </w:pPr>
      <w:r>
        <w:rPr>
          <w:rFonts w:ascii="Times New Roman" w:hAnsi="Times New Roman" w:cs="Times New Roman"/>
        </w:rPr>
        <w:t>«_____» ___________________2023</w:t>
      </w:r>
      <w:r w:rsidR="00964C25">
        <w:rPr>
          <w:rFonts w:ascii="Times New Roman" w:hAnsi="Times New Roman" w:cs="Times New Roman"/>
        </w:rPr>
        <w:t xml:space="preserve"> года</w:t>
      </w:r>
    </w:p>
    <w:p w:rsidR="00805F42" w:rsidRDefault="00805F42" w:rsidP="00964C25">
      <w:pPr>
        <w:tabs>
          <w:tab w:val="left" w:pos="4455"/>
        </w:tabs>
      </w:pPr>
    </w:p>
    <w:p w:rsidR="00964C25" w:rsidRDefault="00964C25" w:rsidP="00964C25">
      <w:pPr>
        <w:tabs>
          <w:tab w:val="left" w:pos="4455"/>
        </w:tabs>
      </w:pPr>
    </w:p>
    <w:p w:rsidR="00964C25" w:rsidRDefault="00964C25" w:rsidP="00965320">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proofErr w:type="gramStart"/>
      <w:r w:rsidR="00A13F00">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Смотрова</w:t>
      </w:r>
      <w:proofErr w:type="spellEnd"/>
      <w:r w:rsidRPr="00B6681D">
        <w:rPr>
          <w:rFonts w:ascii="Times New Roman" w:hAnsi="Times New Roman" w:cs="Times New Roman"/>
        </w:rPr>
        <w:t xml:space="preserve">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8">
        <w:r w:rsidRPr="00B6681D">
          <w:rPr>
            <w:rFonts w:ascii="Times New Roman" w:hAnsi="Times New Roman" w:cs="Times New Roman"/>
          </w:rPr>
          <w:t>ko@airport-murmansk.ru</w:t>
        </w:r>
      </w:hyperlink>
      <w:r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w:t>
      </w:r>
      <w:r w:rsidR="004808A4">
        <w:rPr>
          <w:rFonts w:ascii="Times New Roman" w:hAnsi="Times New Roman" w:cs="Times New Roman"/>
        </w:rPr>
        <w:t>АО «Аэропорт Мурманск»</w:t>
      </w:r>
      <w:r w:rsidRPr="00B6681D">
        <w:rPr>
          <w:rFonts w:ascii="Times New Roman" w:hAnsi="Times New Roman" w:cs="Times New Roman"/>
        </w:rPr>
        <w:t xml:space="preserve">, тел. 8(8152) 638-000, доб. 051-13-11, </w:t>
      </w:r>
      <w:hyperlink r:id="rId9">
        <w:r w:rsidRPr="00B6681D">
          <w:rPr>
            <w:rFonts w:ascii="Times New Roman" w:hAnsi="Times New Roman" w:cs="Times New Roman"/>
          </w:rPr>
          <w:t>ko@airport-murmansk.ru</w:t>
        </w:r>
      </w:hyperlink>
      <w:r>
        <w:rPr>
          <w:rFonts w:ascii="Times New Roman" w:hAnsi="Times New Roman" w:cs="Times New Roman"/>
        </w:rPr>
        <w:t>.</w:t>
      </w:r>
    </w:p>
    <w:p w:rsidR="00C32A5F" w:rsidRDefault="00C32A5F" w:rsidP="00B6681D">
      <w:pPr>
        <w:spacing w:after="31" w:line="254" w:lineRule="auto"/>
        <w:ind w:left="142"/>
        <w:jc w:val="both"/>
        <w:rPr>
          <w:rFonts w:ascii="Times New Roman" w:hAnsi="Times New Roman" w:cs="Times New Roman"/>
        </w:rPr>
      </w:pPr>
      <w:bookmarkStart w:id="0" w:name="_GoBack"/>
      <w:bookmarkEnd w:id="0"/>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0"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4808A4" w:rsidRDefault="006D158F" w:rsidP="004808A4">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w:t>
      </w:r>
      <w:r w:rsidRPr="006D158F">
        <w:rPr>
          <w:rFonts w:ascii="Times New Roman" w:hAnsi="Times New Roman" w:cs="Times New Roman"/>
          <w:bCs/>
        </w:rPr>
        <w:lastRenderedPageBreak/>
        <w:t xml:space="preserve">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Организатор запроса предложений имеет право отказаться от проведения Запроса</w:t>
      </w:r>
      <w:r w:rsidR="004808A4">
        <w:rPr>
          <w:rFonts w:ascii="Times New Roman" w:hAnsi="Times New Roman" w:cs="Times New Roman"/>
          <w:bCs/>
        </w:rPr>
        <w:t xml:space="preserve"> предложений в любое время, без </w:t>
      </w:r>
      <w:r w:rsidR="00BD6BF9" w:rsidRPr="004808A4">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4808A4">
        <w:rPr>
          <w:rFonts w:ascii="Times New Roman" w:hAnsi="Times New Roman" w:cs="Times New Roman"/>
          <w:bCs/>
          <w:spacing w:val="62"/>
        </w:rPr>
        <w:t xml:space="preserve"> </w:t>
      </w:r>
      <w:r w:rsidR="00BD6BF9" w:rsidRPr="004808A4">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4808A4">
        <w:rPr>
          <w:bCs/>
        </w:rPr>
        <w:t xml:space="preserve"> </w:t>
      </w:r>
      <w:r w:rsidR="00BD6BF9" w:rsidRPr="004808A4">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1">
        <w:r w:rsidRPr="00A10CEE">
          <w:rPr>
            <w:rFonts w:ascii="Times New Roman" w:hAnsi="Times New Roman" w:cs="Times New Roman"/>
          </w:rPr>
          <w:t>https://www.zakupki.ru</w:t>
        </w:r>
      </w:hyperlink>
      <w:hyperlink r:id="rId12">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lastRenderedPageBreak/>
        <w:t>2.6.</w:t>
      </w:r>
      <w:r w:rsidRPr="00A10CEE">
        <w:rPr>
          <w:rFonts w:ascii="Times New Roman" w:eastAsia="Arial" w:hAnsi="Times New Roman" w:cs="Times New Roman"/>
        </w:rPr>
        <w:t xml:space="preserve"> </w:t>
      </w:r>
      <w:r w:rsidRPr="00A10CEE">
        <w:rPr>
          <w:rFonts w:ascii="Times New Roman" w:hAnsi="Times New Roman" w:cs="Times New Roman"/>
        </w:rPr>
        <w:t>В случае</w:t>
      </w:r>
      <w:r>
        <w:rPr>
          <w:rFonts w:ascii="Times New Roman" w:hAnsi="Times New Roman" w:cs="Times New Roman"/>
        </w:rPr>
        <w:t>,</w:t>
      </w:r>
      <w:r w:rsidRPr="00A10CEE">
        <w:rPr>
          <w:rFonts w:ascii="Times New Roman" w:hAnsi="Times New Roman" w:cs="Times New Roman"/>
        </w:rPr>
        <w:t xml:space="preserve">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w:t>
      </w:r>
      <w:r w:rsidR="00B57507">
        <w:rPr>
          <w:rFonts w:ascii="Times New Roman" w:hAnsi="Times New Roman" w:cs="Times New Roman"/>
        </w:rPr>
        <w:t>аявки требованиям Документации.</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E340B4" w:rsidRDefault="00A10CEE" w:rsidP="00A10CEE">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w:t>
      </w:r>
    </w:p>
    <w:p w:rsidR="00E340B4" w:rsidRDefault="00E340B4" w:rsidP="00E340B4">
      <w:pPr>
        <w:ind w:left="-15"/>
        <w:jc w:val="both"/>
        <w:rPr>
          <w:rFonts w:ascii="Times New Roman" w:hAnsi="Times New Roman" w:cs="Times New Roman"/>
        </w:rPr>
      </w:pPr>
    </w:p>
    <w:p w:rsidR="00A10CEE" w:rsidRPr="00A10CEE" w:rsidRDefault="00A10CEE" w:rsidP="00E340B4">
      <w:pPr>
        <w:ind w:left="-15"/>
        <w:jc w:val="both"/>
        <w:rPr>
          <w:rFonts w:ascii="Times New Roman" w:hAnsi="Times New Roman" w:cs="Times New Roman"/>
        </w:rPr>
      </w:pPr>
      <w:r w:rsidRPr="00A10CEE">
        <w:rPr>
          <w:rFonts w:ascii="Times New Roman" w:hAnsi="Times New Roman" w:cs="Times New Roman"/>
        </w:rPr>
        <w:t>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A10CEE" w:rsidP="00E340B4">
      <w:pPr>
        <w:ind w:firstLine="709"/>
        <w:jc w:val="both"/>
        <w:rPr>
          <w:rFonts w:ascii="Times New Roman" w:hAnsi="Times New Roman" w:cs="Times New Roman"/>
        </w:rPr>
      </w:pPr>
      <w:r w:rsidRPr="00A10CEE">
        <w:rPr>
          <w:rFonts w:ascii="Times New Roman" w:hAnsi="Times New Roman" w:cs="Times New Roman"/>
          <w:b/>
        </w:rPr>
        <w:t>2.9</w:t>
      </w:r>
      <w:r>
        <w:rPr>
          <w:rFonts w:ascii="Times New Roman" w:hAnsi="Times New Roman" w:cs="Times New Roman"/>
        </w:rPr>
        <w:t>.</w:t>
      </w:r>
      <w:r w:rsidRPr="00A10CEE">
        <w:rPr>
          <w:rFonts w:ascii="Times New Roman" w:hAnsi="Times New Roman" w:cs="Times New Roman"/>
        </w:rPr>
        <w:t xml:space="preserve"> После окончания срока подачи заявок изменение/отзыв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2.10.</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A10CEE" w:rsidP="00E340B4">
      <w:pPr>
        <w:ind w:left="-15" w:firstLine="724"/>
        <w:jc w:val="both"/>
        <w:rPr>
          <w:rFonts w:ascii="Times New Roman" w:hAnsi="Times New Roman" w:cs="Times New Roman"/>
        </w:rPr>
      </w:pPr>
      <w:r w:rsidRPr="00A10CEE">
        <w:rPr>
          <w:rFonts w:ascii="Times New Roman" w:hAnsi="Times New Roman" w:cs="Times New Roman"/>
          <w:b/>
        </w:rPr>
        <w:t>2.11.</w:t>
      </w:r>
      <w:r w:rsidRPr="00A10CEE">
        <w:rPr>
          <w:rFonts w:ascii="Times New Roman" w:eastAsia="Arial" w:hAnsi="Times New Roman" w:cs="Times New Roman"/>
        </w:rPr>
        <w:t xml:space="preserve"> </w:t>
      </w:r>
      <w:r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lastRenderedPageBreak/>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45"/>
        <w:gridCol w:w="6516"/>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1" w:name="__UnoMark__409_3226701412111111111111111"/>
            <w:bookmarkStart w:id="2" w:name="__UnoMark__27167_32267014121111111111111"/>
            <w:bookmarkStart w:id="3" w:name="__UnoMark__4290_253925110311111111111111"/>
            <w:bookmarkEnd w:id="1"/>
            <w:bookmarkEnd w:id="2"/>
            <w:bookmarkEnd w:id="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4" w:name="__UnoMark__413_3226701412111111111111111"/>
            <w:bookmarkStart w:id="5" w:name="__UnoMark__27175_32267014121111111111111"/>
            <w:bookmarkStart w:id="6" w:name="__UnoMark__4302_253925110311111111111111"/>
            <w:bookmarkEnd w:id="4"/>
            <w:bookmarkEnd w:id="5"/>
            <w:bookmarkEnd w:id="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7" w:name="__UnoMark__417_3226701412111111111111111"/>
            <w:bookmarkStart w:id="8" w:name="__UnoMark__27183_32267014121111111111111"/>
            <w:bookmarkStart w:id="9" w:name="__UnoMark__4314_253925110311111111111111"/>
            <w:bookmarkEnd w:id="7"/>
            <w:bookmarkEnd w:id="8"/>
            <w:bookmarkEnd w:id="9"/>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10" w:name="__UnoMark__421_3226701412111111111111111"/>
            <w:bookmarkStart w:id="11" w:name="__UnoMark__27191_32267014121111111111111"/>
            <w:bookmarkStart w:id="12" w:name="__UnoMark__4326_253925110311111111111111"/>
            <w:bookmarkEnd w:id="10"/>
            <w:bookmarkEnd w:id="11"/>
            <w:bookmarkEnd w:id="1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3" w:name="__UnoMark__425_3226701412111111111111111"/>
            <w:bookmarkStart w:id="14" w:name="__UnoMark__27199_32267014121111111111111"/>
            <w:bookmarkStart w:id="15" w:name="__UnoMark__4338_253925110311111111111111"/>
            <w:bookmarkEnd w:id="13"/>
            <w:bookmarkEnd w:id="14"/>
            <w:bookmarkEnd w:id="1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6" w:name="__UnoMark__433_3226701412111111111111111"/>
            <w:bookmarkStart w:id="17" w:name="__UnoMark__27215_32267014121111111111111"/>
            <w:bookmarkStart w:id="18" w:name="__UnoMark__4362_253925110311111111111111"/>
            <w:bookmarkEnd w:id="16"/>
            <w:bookmarkEnd w:id="17"/>
            <w:bookmarkEnd w:id="1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9" w:name="__UnoMark__437_3226701412111111111111111"/>
            <w:bookmarkStart w:id="20" w:name="__UnoMark__27223_32267014121111111111111"/>
            <w:bookmarkStart w:id="21" w:name="__UnoMark__4374_253925110311111111111111"/>
            <w:bookmarkEnd w:id="19"/>
            <w:bookmarkEnd w:id="20"/>
            <w:bookmarkEnd w:id="2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2" w:name="__UnoMark__441_3226701412111111111111111"/>
            <w:bookmarkStart w:id="23" w:name="__UnoMark__27231_32267014121111111111111"/>
            <w:bookmarkStart w:id="24" w:name="__UnoMark__4386_253925110311111111111111"/>
            <w:bookmarkEnd w:id="22"/>
            <w:bookmarkEnd w:id="23"/>
            <w:bookmarkEnd w:id="2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5" w:name="__UnoMark__445_3226701412111111111111111"/>
            <w:bookmarkStart w:id="26" w:name="__UnoMark__27239_32267014121111111111111"/>
            <w:bookmarkStart w:id="27" w:name="__UnoMark__4398_253925110311111111111111"/>
            <w:bookmarkEnd w:id="25"/>
            <w:bookmarkEnd w:id="26"/>
            <w:bookmarkEnd w:id="2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BD6BF9" w:rsidRPr="00A10CEE" w:rsidRDefault="00BD6BF9" w:rsidP="00A10CEE">
      <w:pPr>
        <w:spacing w:before="240" w:after="31" w:line="254" w:lineRule="auto"/>
        <w:ind w:left="142"/>
        <w:jc w:val="both"/>
        <w:rPr>
          <w:rFonts w:ascii="Times New Roman" w:hAnsi="Times New Roman" w:cs="Times New Roman"/>
          <w:bCs/>
        </w:rPr>
      </w:pPr>
    </w:p>
    <w:p w:rsidR="00BD6BF9" w:rsidRDefault="00BD6BF9"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lastRenderedPageBreak/>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E340B4" w:rsidRDefault="00E340B4" w:rsidP="00E340B4">
      <w:pPr>
        <w:spacing w:before="240"/>
        <w:jc w:val="both"/>
        <w:rPr>
          <w:rFonts w:ascii="Times New Roman" w:hAnsi="Times New Roman" w:cs="Times New Roman"/>
        </w:rPr>
      </w:pPr>
    </w:p>
    <w:p w:rsidR="00E340B4" w:rsidRDefault="00E340B4" w:rsidP="00E340B4">
      <w:pPr>
        <w:spacing w:before="240"/>
        <w:jc w:val="both"/>
        <w:rPr>
          <w:rFonts w:ascii="Times New Roman" w:hAnsi="Times New Roman" w:cs="Times New Roman"/>
        </w:rPr>
      </w:pP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797E29" w:rsidRDefault="00797E29" w:rsidP="00B57507">
      <w:pPr>
        <w:spacing w:after="0" w:line="278" w:lineRule="auto"/>
        <w:jc w:val="both"/>
        <w:rPr>
          <w:rFonts w:ascii="Times New Roman" w:hAnsi="Times New Roman" w:cs="Times New Roman"/>
        </w:rPr>
      </w:pPr>
    </w:p>
    <w:p w:rsid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p w:rsidR="00847C24" w:rsidRPr="00797E29" w:rsidRDefault="00847C24" w:rsidP="00847C24">
      <w:pPr>
        <w:pStyle w:val="a7"/>
        <w:suppressAutoHyphens w:val="0"/>
        <w:overflowPunct/>
        <w:spacing w:after="83" w:line="257" w:lineRule="auto"/>
        <w:ind w:left="567" w:right="78"/>
        <w:jc w:val="both"/>
        <w:rPr>
          <w:rFonts w:ascii="Times New Roman" w:hAnsi="Times New Roman" w:cs="Times New Roman"/>
        </w:rPr>
      </w:pP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73982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2250B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C2DEC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B8DB4D"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AF9D0"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EE959C"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E340B4" w:rsidRDefault="008165DB" w:rsidP="00E340B4">
      <w:pPr>
        <w:ind w:left="-15" w:firstLine="582"/>
        <w:jc w:val="both"/>
        <w:rPr>
          <w:rFonts w:ascii="Times New Roman" w:eastAsia="Times New Roman" w:hAnsi="Times New Roman" w:cs="Times New Roman"/>
          <w:b/>
        </w:rPr>
      </w:pPr>
      <w:r w:rsidRPr="008165DB">
        <w:rPr>
          <w:rFonts w:ascii="Times New Roman" w:hAnsi="Times New Roman" w:cs="Times New Roman"/>
          <w:b/>
        </w:rPr>
        <w:t>4.9.</w:t>
      </w:r>
      <w:r w:rsidRPr="008165DB">
        <w:rPr>
          <w:rFonts w:ascii="Times New Roman" w:eastAsia="Arial" w:hAnsi="Times New Roman" w:cs="Times New Roman"/>
        </w:rPr>
        <w:t xml:space="preserve"> </w:t>
      </w:r>
      <w:r w:rsidRPr="008165DB">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8165DB">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8165DB" w:rsidRDefault="008165DB" w:rsidP="008165DB">
      <w:pPr>
        <w:spacing w:after="23"/>
        <w:ind w:left="566"/>
        <w:jc w:val="both"/>
        <w:rPr>
          <w:rFonts w:ascii="Times New Roman" w:hAnsi="Times New Roman" w:cs="Times New Roman"/>
        </w:rPr>
      </w:pPr>
      <w:r w:rsidRPr="008165DB">
        <w:rPr>
          <w:rFonts w:ascii="Times New Roman" w:hAnsi="Times New Roman" w:cs="Times New Roman"/>
        </w:rPr>
        <w:t xml:space="preserve"> </w:t>
      </w:r>
    </w:p>
    <w:p w:rsidR="00E36CEF" w:rsidRPr="00E36CEF" w:rsidRDefault="008165DB" w:rsidP="00847C24">
      <w:pPr>
        <w:spacing w:after="19"/>
        <w:ind w:right="7" w:firstLine="709"/>
        <w:jc w:val="both"/>
        <w:rPr>
          <w:rFonts w:ascii="Times New Roman" w:hAnsi="Times New Roman" w:cs="Times New Roman"/>
        </w:rPr>
      </w:pPr>
      <w:r w:rsidRPr="008165DB">
        <w:rPr>
          <w:rFonts w:ascii="Times New Roman" w:hAnsi="Times New Roman" w:cs="Times New Roman"/>
          <w:b/>
        </w:rPr>
        <w:t>4.10.</w:t>
      </w:r>
      <w:r w:rsidRPr="008165DB">
        <w:rPr>
          <w:rFonts w:ascii="Times New Roman" w:eastAsia="Arial" w:hAnsi="Times New Roman" w:cs="Times New Roman"/>
        </w:rPr>
        <w:t xml:space="preserve"> </w:t>
      </w:r>
      <w:r w:rsidRPr="008165DB">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sectPr w:rsidR="00E36CEF" w:rsidRPr="00E36CEF" w:rsidSect="00BD6BF9">
      <w:headerReference w:type="default" r:id="rId13"/>
      <w:pgSz w:w="11906" w:h="16838"/>
      <w:pgMar w:top="1418" w:right="424"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0" w:type="auto"/>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4536"/>
      <w:gridCol w:w="3402"/>
    </w:tblGrid>
    <w:tr w:rsidR="00847C24" w:rsidTr="00847C24">
      <w:tc>
        <w:tcPr>
          <w:tcW w:w="3119" w:type="dxa"/>
          <w:vAlign w:val="center"/>
        </w:tcPr>
        <w:p w:rsidR="00847C24" w:rsidRDefault="00847C24" w:rsidP="00847C24">
          <w:pPr>
            <w:pStyle w:val="a3"/>
            <w:tabs>
              <w:tab w:val="clear" w:pos="9355"/>
            </w:tabs>
            <w:jc w:val="center"/>
            <w:rPr>
              <w:rFonts w:ascii="Times New Roman" w:hAnsi="Times New Roman" w:cs="Times New Roman"/>
            </w:rPr>
          </w:pPr>
          <w:r w:rsidRPr="00964C25">
            <w:rPr>
              <w:rFonts w:ascii="Times New Roman" w:hAnsi="Times New Roman" w:cs="Times New Roman"/>
              <w:noProof/>
              <w:lang w:eastAsia="ru-RU"/>
            </w:rPr>
            <mc:AlternateContent>
              <mc:Choice Requires="wpg">
                <w:drawing>
                  <wp:anchor distT="0" distB="0" distL="114300" distR="114300" simplePos="0" relativeHeight="251663360" behindDoc="0" locked="0" layoutInCell="1" allowOverlap="1" wp14:anchorId="072AF439" wp14:editId="15E7E243">
                    <wp:simplePos x="0" y="0"/>
                    <wp:positionH relativeFrom="page">
                      <wp:posOffset>79375</wp:posOffset>
                    </wp:positionH>
                    <wp:positionV relativeFrom="page">
                      <wp:posOffset>106045</wp:posOffset>
                    </wp:positionV>
                    <wp:extent cx="1657350" cy="800100"/>
                    <wp:effectExtent l="0" t="0" r="0" b="0"/>
                    <wp:wrapSquare wrapText="bothSides"/>
                    <wp:docPr id="3" name="Group 8597"/>
                    <wp:cNvGraphicFramePr/>
                    <a:graphic xmlns:a="http://schemas.openxmlformats.org/drawingml/2006/main">
                      <a:graphicData uri="http://schemas.microsoft.com/office/word/2010/wordprocessingGroup">
                        <wpg:wgp>
                          <wpg:cNvGrpSpPr/>
                          <wpg:grpSpPr>
                            <a:xfrm>
                              <a:off x="0" y="0"/>
                              <a:ext cx="1657350" cy="800100"/>
                              <a:chOff x="0" y="0"/>
                              <a:chExt cx="1800225" cy="724434"/>
                            </a:xfrm>
                          </wpg:grpSpPr>
                          <wps:wsp>
                            <wps:cNvPr id="4" name="Rectangle 8599"/>
                            <wps:cNvSpPr/>
                            <wps:spPr>
                              <a:xfrm>
                                <a:off x="758876" y="0"/>
                                <a:ext cx="50673" cy="224380"/>
                              </a:xfrm>
                              <a:prstGeom prst="rect">
                                <a:avLst/>
                              </a:prstGeom>
                              <a:ln>
                                <a:noFill/>
                              </a:ln>
                            </wps:spPr>
                            <wps:txbx>
                              <w:txbxContent>
                                <w:p w:rsidR="00847C24" w:rsidRDefault="00847C24" w:rsidP="00847C24">
                                  <w:r>
                                    <w:rPr>
                                      <w:sz w:val="24"/>
                                    </w:rPr>
                                    <w:t xml:space="preserve"> </w:t>
                                  </w:r>
                                </w:p>
                              </w:txbxContent>
                            </wps:txbx>
                            <wps:bodyPr horzOverflow="overflow" vert="horz" lIns="0" tIns="0" rIns="0" bIns="0" rtlCol="0">
                              <a:noAutofit/>
                            </wps:bodyPr>
                          </wps:wsp>
                          <pic:pic xmlns:pic="http://schemas.openxmlformats.org/drawingml/2006/picture">
                            <pic:nvPicPr>
                              <pic:cNvPr id="5" name="Picture 8598"/>
                              <pic:cNvPicPr/>
                            </pic:nvPicPr>
                            <pic:blipFill>
                              <a:blip r:embed="rId1"/>
                              <a:stretch>
                                <a:fillRect/>
                              </a:stretch>
                            </pic:blipFill>
                            <pic:spPr>
                              <a:xfrm>
                                <a:off x="0" y="534"/>
                                <a:ext cx="1800225" cy="723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2AF439" id="Group 8597" o:spid="_x0000_s1026" style="position:absolute;left:0;text-align:left;margin-left:6.25pt;margin-top:8.35pt;width:130.5pt;height:63pt;z-index:251663360;mso-position-horizontal-relative:page;mso-position-vertical-relative:page;mso-width-relative:margin;mso-height-relative:margin" coordsize="18002,72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">
                    <v:rect id="Rectangle 8599" o:spid="_x0000_s1027" style="position:absolute;left:75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847C24" w:rsidRDefault="00847C24" w:rsidP="00847C24">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8" o:spid="_x0000_s1028" type="#_x0000_t75" style="position:absolute;top:5;width:1800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">
                      <v:imagedata r:id="rId2" o:title=""/>
                    </v:shape>
                    <w10:wrap type="square" anchorx="page" anchory="page"/>
                  </v:group>
                </w:pict>
              </mc:Fallback>
            </mc:AlternateContent>
          </w:r>
        </w:p>
      </w:tc>
      <w:tc>
        <w:tcPr>
          <w:tcW w:w="4536" w:type="dxa"/>
        </w:tcPr>
        <w:p w:rsidR="00847C24" w:rsidRDefault="00847C24" w:rsidP="00847C24">
          <w:pPr>
            <w:pStyle w:val="a3"/>
            <w:tabs>
              <w:tab w:val="clear" w:pos="9355"/>
            </w:tabs>
            <w:ind w:left="851"/>
            <w:jc w:val="center"/>
            <w:rPr>
              <w:rFonts w:ascii="Times New Roman" w:hAnsi="Times New Roman" w:cs="Times New Roman"/>
            </w:rPr>
          </w:pPr>
        </w:p>
        <w:p w:rsidR="00847C24" w:rsidRPr="00964C25" w:rsidRDefault="00847C24" w:rsidP="00847C24">
          <w:pPr>
            <w:pStyle w:val="a3"/>
            <w:tabs>
              <w:tab w:val="clear" w:pos="9355"/>
            </w:tabs>
            <w:jc w:val="center"/>
            <w:rPr>
              <w:rFonts w:ascii="Times New Roman" w:hAnsi="Times New Roman" w:cs="Times New Roman"/>
            </w:rPr>
          </w:pPr>
          <w:r w:rsidRPr="00964C25">
            <w:rPr>
              <w:rFonts w:ascii="Times New Roman" w:hAnsi="Times New Roman" w:cs="Times New Roman"/>
            </w:rPr>
            <w:t>Правила проведения открытых конкурсных процедур на право заключения договора аренды на территории Международного аэропорта «Мурманск»</w:t>
          </w:r>
        </w:p>
        <w:p w:rsidR="00847C24" w:rsidRPr="00964C25" w:rsidRDefault="00847C24" w:rsidP="00847C24">
          <w:pPr>
            <w:pStyle w:val="a3"/>
            <w:tabs>
              <w:tab w:val="clear" w:pos="9355"/>
            </w:tabs>
            <w:ind w:left="851"/>
            <w:jc w:val="center"/>
            <w:rPr>
              <w:rFonts w:ascii="Times New Roman" w:hAnsi="Times New Roman" w:cs="Times New Roman"/>
            </w:rPr>
          </w:pPr>
        </w:p>
        <w:p w:rsidR="00847C24" w:rsidRDefault="00847C24" w:rsidP="00964C25">
          <w:pPr>
            <w:pStyle w:val="a3"/>
            <w:tabs>
              <w:tab w:val="clear" w:pos="9355"/>
            </w:tabs>
            <w:jc w:val="center"/>
            <w:rPr>
              <w:rFonts w:ascii="Times New Roman" w:hAnsi="Times New Roman" w:cs="Times New Roman"/>
            </w:rPr>
          </w:pPr>
        </w:p>
      </w:tc>
      <w:tc>
        <w:tcPr>
          <w:tcW w:w="3402" w:type="dxa"/>
          <w:vAlign w:val="center"/>
        </w:tcPr>
        <w:p w:rsidR="00847C24" w:rsidRDefault="00847C24" w:rsidP="00847C24">
          <w:pPr>
            <w:pStyle w:val="a3"/>
            <w:tabs>
              <w:tab w:val="clear" w:pos="9355"/>
            </w:tabs>
            <w:jc w:val="center"/>
            <w:rPr>
              <w:rFonts w:ascii="Times New Roman" w:hAnsi="Times New Roman" w:cs="Times New Roman"/>
            </w:rPr>
          </w:pPr>
          <w:r w:rsidRPr="00964C25">
            <w:rPr>
              <w:rFonts w:ascii="Times New Roman" w:hAnsi="Times New Roman" w:cs="Times New Roman"/>
              <w:noProof/>
              <w:lang w:eastAsia="ru-RU"/>
            </w:rPr>
            <w:drawing>
              <wp:anchor distT="0" distB="0" distL="114300" distR="114300" simplePos="0" relativeHeight="251665408" behindDoc="0" locked="0" layoutInCell="1" allowOverlap="1" wp14:anchorId="7BDFD69D" wp14:editId="553940AA">
                <wp:simplePos x="0" y="0"/>
                <wp:positionH relativeFrom="column">
                  <wp:posOffset>-16510</wp:posOffset>
                </wp:positionH>
                <wp:positionV relativeFrom="paragraph">
                  <wp:posOffset>-568325</wp:posOffset>
                </wp:positionV>
                <wp:extent cx="2152650" cy="561975"/>
                <wp:effectExtent l="0" t="0" r="0" b="9525"/>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152650" cy="561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9755CB" w:rsidRPr="00964C25" w:rsidRDefault="009755CB" w:rsidP="00847C24">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5"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E7730"/>
    <w:rsid w:val="001F2E63"/>
    <w:rsid w:val="00325B4D"/>
    <w:rsid w:val="00361E72"/>
    <w:rsid w:val="00395E00"/>
    <w:rsid w:val="004808A4"/>
    <w:rsid w:val="004E105C"/>
    <w:rsid w:val="005F4ABB"/>
    <w:rsid w:val="006C108F"/>
    <w:rsid w:val="006D158F"/>
    <w:rsid w:val="006E1861"/>
    <w:rsid w:val="00797E29"/>
    <w:rsid w:val="00805F42"/>
    <w:rsid w:val="008165DB"/>
    <w:rsid w:val="00847C24"/>
    <w:rsid w:val="00904BC4"/>
    <w:rsid w:val="009204F5"/>
    <w:rsid w:val="00964C25"/>
    <w:rsid w:val="00965320"/>
    <w:rsid w:val="009755CB"/>
    <w:rsid w:val="00A10CEE"/>
    <w:rsid w:val="00A13F00"/>
    <w:rsid w:val="00B57507"/>
    <w:rsid w:val="00B6681D"/>
    <w:rsid w:val="00BD6BF9"/>
    <w:rsid w:val="00C32A5F"/>
    <w:rsid w:val="00CA4494"/>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8D6B1"/>
  <w15:docId w15:val="{03223CD4-39F3-4F8E-9805-75FE22AA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up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mailto:ko@airport-murmans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CE2D-3C8F-49A5-8F52-40259322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Трусова Елена Георгиевна</cp:lastModifiedBy>
  <cp:revision>7</cp:revision>
  <dcterms:created xsi:type="dcterms:W3CDTF">2022-11-21T11:14:00Z</dcterms:created>
  <dcterms:modified xsi:type="dcterms:W3CDTF">2023-01-13T11:19:00Z</dcterms:modified>
</cp:coreProperties>
</file>