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B9" w:rsidRPr="00FF3F24" w:rsidRDefault="002429B9" w:rsidP="002429B9">
      <w:pPr>
        <w:spacing w:after="0"/>
        <w:ind w:left="4984" w:right="-1" w:firstLine="666"/>
        <w:jc w:val="right"/>
        <w:rPr>
          <w:rFonts w:ascii="Times New Roman" w:eastAsia="Times New Roman" w:hAnsi="Times New Roman" w:cs="Times New Roman"/>
        </w:rPr>
      </w:pPr>
      <w:r w:rsidRPr="00FF3F24">
        <w:rPr>
          <w:rFonts w:ascii="Times New Roman" w:eastAsia="Times New Roman" w:hAnsi="Times New Roman" w:cs="Times New Roman"/>
        </w:rPr>
        <w:t>Утверждаю</w:t>
      </w:r>
    </w:p>
    <w:p w:rsidR="002429B9"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Директор Мурманского филиала</w:t>
      </w:r>
    </w:p>
    <w:p w:rsidR="002429B9" w:rsidRPr="000B79DB" w:rsidRDefault="002429B9" w:rsidP="002429B9">
      <w:pPr>
        <w:spacing w:after="0"/>
        <w:ind w:left="4984" w:firstLine="666"/>
        <w:jc w:val="right"/>
        <w:rPr>
          <w:rFonts w:ascii="Times New Roman" w:eastAsia="Times New Roman" w:hAnsi="Times New Roman" w:cs="Times New Roman"/>
        </w:rPr>
      </w:pPr>
      <w:r>
        <w:rPr>
          <w:rFonts w:ascii="Times New Roman" w:eastAsia="Times New Roman" w:hAnsi="Times New Roman" w:cs="Times New Roman"/>
        </w:rPr>
        <w:t xml:space="preserve">ООО «НОВАПОРТ </w:t>
      </w:r>
      <w:proofErr w:type="spellStart"/>
      <w:r>
        <w:rPr>
          <w:rFonts w:ascii="Times New Roman" w:eastAsia="Times New Roman" w:hAnsi="Times New Roman" w:cs="Times New Roman"/>
        </w:rPr>
        <w:t>Трейдинг</w:t>
      </w:r>
      <w:proofErr w:type="spellEnd"/>
      <w:r>
        <w:rPr>
          <w:rFonts w:ascii="Times New Roman" w:eastAsia="Times New Roman" w:hAnsi="Times New Roman" w:cs="Times New Roman"/>
        </w:rPr>
        <w:t xml:space="preserve">»  </w:t>
      </w:r>
    </w:p>
    <w:p w:rsidR="002429B9" w:rsidRDefault="002429B9" w:rsidP="002429B9">
      <w:pPr>
        <w:spacing w:after="20"/>
        <w:ind w:left="1318"/>
        <w:jc w:val="center"/>
      </w:pPr>
      <w:r>
        <w:rPr>
          <w:rFonts w:ascii="Times New Roman" w:eastAsia="Times New Roman" w:hAnsi="Times New Roman" w:cs="Times New Roman"/>
        </w:rPr>
        <w:t xml:space="preserve"> </w:t>
      </w:r>
    </w:p>
    <w:p w:rsidR="002429B9" w:rsidRDefault="002429B9" w:rsidP="002429B9">
      <w:pPr>
        <w:spacing w:after="31" w:line="248" w:lineRule="auto"/>
        <w:ind w:left="5660" w:right="-1" w:hanging="10"/>
        <w:jc w:val="right"/>
      </w:pPr>
      <w:r>
        <w:rPr>
          <w:rFonts w:ascii="Times New Roman" w:eastAsia="Times New Roman" w:hAnsi="Times New Roman" w:cs="Times New Roman"/>
        </w:rPr>
        <w:t xml:space="preserve">__________________ Смотрова А.С. </w:t>
      </w:r>
    </w:p>
    <w:p w:rsidR="002429B9" w:rsidRDefault="002429B9" w:rsidP="002429B9">
      <w:pPr>
        <w:spacing w:after="31" w:line="248" w:lineRule="auto"/>
        <w:ind w:left="5660" w:right="-1" w:hanging="10"/>
        <w:jc w:val="right"/>
      </w:pPr>
      <w:r>
        <w:rPr>
          <w:rFonts w:ascii="Times New Roman" w:eastAsia="Times New Roman" w:hAnsi="Times New Roman" w:cs="Times New Roman"/>
        </w:rPr>
        <w:t>«_____» __________________ 202</w:t>
      </w:r>
      <w:r w:rsidR="00D345EC">
        <w:rPr>
          <w:rFonts w:ascii="Times New Roman" w:eastAsia="Times New Roman" w:hAnsi="Times New Roman" w:cs="Times New Roman"/>
        </w:rPr>
        <w:t>4</w:t>
      </w:r>
      <w:r>
        <w:rPr>
          <w:rFonts w:ascii="Times New Roman" w:eastAsia="Times New Roman" w:hAnsi="Times New Roman" w:cs="Times New Roman"/>
        </w:rPr>
        <w:t xml:space="preserve"> года </w:t>
      </w:r>
    </w:p>
    <w:p w:rsidR="00805F42" w:rsidRDefault="00805F42" w:rsidP="00964C25">
      <w:pPr>
        <w:tabs>
          <w:tab w:val="left" w:pos="4455"/>
        </w:tabs>
      </w:pPr>
    </w:p>
    <w:p w:rsidR="00964C25" w:rsidRDefault="00964C25" w:rsidP="00964C25">
      <w:pPr>
        <w:tabs>
          <w:tab w:val="left" w:pos="4455"/>
        </w:tabs>
      </w:pPr>
    </w:p>
    <w:p w:rsidR="00964C25" w:rsidRDefault="00964C25" w:rsidP="00AD31BF">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rsidR="00A10CEE" w:rsidRPr="00965320" w:rsidRDefault="00A10CEE" w:rsidP="00A10CEE">
      <w:pPr>
        <w:pStyle w:val="a7"/>
        <w:spacing w:after="31" w:line="254" w:lineRule="auto"/>
        <w:ind w:left="709"/>
        <w:jc w:val="both"/>
        <w:rPr>
          <w:rFonts w:ascii="Times New Roman" w:eastAsia="Times New Roman" w:hAnsi="Times New Roman" w:cs="Times New Roman"/>
          <w:b/>
        </w:rPr>
      </w:pPr>
    </w:p>
    <w:p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r w:rsidR="005F6B59">
        <w:rPr>
          <w:rFonts w:ascii="Times New Roman" w:hAnsi="Times New Roman" w:cs="Times New Roman"/>
        </w:rPr>
        <w:t>»,</w:t>
      </w:r>
      <w:r>
        <w:rPr>
          <w:rFonts w:ascii="Times New Roman" w:hAnsi="Times New Roman" w:cs="Times New Roman"/>
        </w:rPr>
        <w:t xml:space="preserve"> кабинет 5.</w:t>
      </w:r>
    </w:p>
    <w:p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rsidR="00B6681D" w:rsidRPr="00B6681D" w:rsidRDefault="00B6681D" w:rsidP="00B6681D">
      <w:pPr>
        <w:spacing w:after="31" w:line="254" w:lineRule="auto"/>
        <w:ind w:left="142"/>
        <w:jc w:val="both"/>
        <w:rPr>
          <w:rFonts w:ascii="Times New Roman" w:hAnsi="Times New Roman" w:cs="Times New Roman"/>
        </w:rPr>
      </w:pPr>
      <w:r w:rsidRPr="00B6681D">
        <w:rPr>
          <w:rFonts w:ascii="Times New Roman" w:hAnsi="Times New Roman" w:cs="Times New Roman"/>
        </w:rPr>
        <w:t xml:space="preserve">Смотрова Анастасия Сергеевна – директор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051-12-05, </w:t>
      </w:r>
      <w:hyperlink r:id="rId9">
        <w:r w:rsidRPr="00B6681D">
          <w:rPr>
            <w:rFonts w:ascii="Times New Roman" w:hAnsi="Times New Roman" w:cs="Times New Roman"/>
          </w:rPr>
          <w:t>ko@airport-murmansk.ru</w:t>
        </w:r>
      </w:hyperlink>
      <w:r w:rsidRPr="00B6681D">
        <w:rPr>
          <w:rFonts w:ascii="Times New Roman" w:hAnsi="Times New Roman" w:cs="Times New Roman"/>
        </w:rPr>
        <w:t>,</w:t>
      </w:r>
    </w:p>
    <w:p w:rsid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Бриканова</w:t>
      </w:r>
      <w:proofErr w:type="spellEnd"/>
      <w:r w:rsidRPr="00B6681D">
        <w:rPr>
          <w:rFonts w:ascii="Times New Roman" w:hAnsi="Times New Roman" w:cs="Times New Roman"/>
        </w:rPr>
        <w:t xml:space="preserve"> Ульяна Анатольевна – специалист по коммерции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051-13-11, </w:t>
      </w:r>
      <w:hyperlink r:id="rId10">
        <w:r w:rsidRPr="00B6681D">
          <w:rPr>
            <w:rFonts w:ascii="Times New Roman" w:hAnsi="Times New Roman" w:cs="Times New Roman"/>
          </w:rPr>
          <w:t>ko@airport-murmansk.ru</w:t>
        </w:r>
      </w:hyperlink>
      <w:r>
        <w:rPr>
          <w:rFonts w:ascii="Times New Roman" w:hAnsi="Times New Roman" w:cs="Times New Roman"/>
        </w:rPr>
        <w:t>.</w:t>
      </w:r>
    </w:p>
    <w:p w:rsidR="00C32A5F" w:rsidRDefault="00C32A5F" w:rsidP="00B6681D">
      <w:pPr>
        <w:spacing w:after="31" w:line="254" w:lineRule="auto"/>
        <w:ind w:left="142"/>
        <w:jc w:val="both"/>
        <w:rPr>
          <w:rFonts w:ascii="Times New Roman" w:hAnsi="Times New Roman" w:cs="Times New Roman"/>
        </w:rPr>
      </w:pPr>
    </w:p>
    <w:p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rsidR="00A10CEE" w:rsidRDefault="00A10CEE" w:rsidP="00A10CEE">
      <w:pPr>
        <w:pStyle w:val="a7"/>
        <w:spacing w:before="240" w:after="31" w:line="254" w:lineRule="auto"/>
        <w:ind w:left="709"/>
        <w:jc w:val="both"/>
        <w:rPr>
          <w:rFonts w:ascii="Times New Roman" w:hAnsi="Times New Roman" w:cs="Times New Roman"/>
        </w:rPr>
      </w:pPr>
    </w:p>
    <w:p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rsidR="00A10CEE" w:rsidRPr="00904BC4" w:rsidRDefault="00A10CEE" w:rsidP="00A10CEE">
      <w:pPr>
        <w:pStyle w:val="a7"/>
        <w:spacing w:before="240" w:after="31" w:line="254" w:lineRule="auto"/>
        <w:ind w:left="709"/>
        <w:jc w:val="both"/>
        <w:rPr>
          <w:rFonts w:ascii="Times New Roman" w:hAnsi="Times New Roman" w:cs="Times New Roman"/>
          <w:b/>
        </w:rPr>
      </w:pPr>
    </w:p>
    <w:p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11"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rsidR="00A10CEE" w:rsidRPr="005F6B59" w:rsidRDefault="006D158F" w:rsidP="005F6B5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w:t>
      </w:r>
      <w:r w:rsidRPr="006D158F">
        <w:rPr>
          <w:rFonts w:ascii="Times New Roman" w:hAnsi="Times New Roman" w:cs="Times New Roman"/>
          <w:bCs/>
        </w:rPr>
        <w:lastRenderedPageBreak/>
        <w:t xml:space="preserve">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r w:rsidR="00BD6BF9" w:rsidRPr="005F6B59">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00BD6BF9" w:rsidRPr="005F6B59">
        <w:rPr>
          <w:rFonts w:ascii="Times New Roman" w:hAnsi="Times New Roman" w:cs="Times New Roman"/>
          <w:bCs/>
          <w:spacing w:val="62"/>
        </w:rPr>
        <w:t xml:space="preserve"> </w:t>
      </w:r>
      <w:r w:rsidR="00BD6BF9" w:rsidRPr="005F6B59">
        <w:rPr>
          <w:rFonts w:ascii="Times New Roman" w:hAnsi="Times New Roman" w:cs="Times New Roman"/>
          <w:bCs/>
        </w:rPr>
        <w:t>такое действие может принести убытки. Организатор вправе вносить изменения в 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sidR="00BD6BF9" w:rsidRPr="005F6B59">
        <w:rPr>
          <w:bCs/>
        </w:rPr>
        <w:t xml:space="preserve"> </w:t>
      </w:r>
      <w:r w:rsidR="00BD6BF9" w:rsidRPr="005F6B59">
        <w:rPr>
          <w:rFonts w:ascii="Times New Roman" w:hAnsi="Times New Roman" w:cs="Times New Roman"/>
          <w:bCs/>
        </w:rPr>
        <w:t>3 (три) дня до окончания подачи Заявок, а также Организатор не обязан заключать договор по результатам Запроса предложений.</w:t>
      </w:r>
    </w:p>
    <w:p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2">
        <w:r w:rsidRPr="00A10CEE">
          <w:rPr>
            <w:rFonts w:ascii="Times New Roman" w:hAnsi="Times New Roman" w:cs="Times New Roman"/>
          </w:rPr>
          <w:t>https://www.zakupki.ru</w:t>
        </w:r>
      </w:hyperlink>
      <w:hyperlink r:id="rId13">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документ. Файлы должны быть именованы так, чтобы из их названия ясно следовало, какой документ, требуемый документацией, в каком файле находится.  </w:t>
      </w:r>
    </w:p>
    <w:p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lastRenderedPageBreak/>
        <w:t>2.6.</w:t>
      </w:r>
      <w:r w:rsidRPr="00A10CEE">
        <w:rPr>
          <w:rFonts w:ascii="Times New Roman" w:eastAsia="Arial" w:hAnsi="Times New Roman" w:cs="Times New Roman"/>
        </w:rPr>
        <w:t xml:space="preserve"> </w:t>
      </w:r>
      <w:r w:rsidRPr="00A10CEE">
        <w:rPr>
          <w:rFonts w:ascii="Times New Roman" w:hAnsi="Times New Roman" w:cs="Times New Roman"/>
        </w:rPr>
        <w:t xml:space="preserve">В случае если цена договора, указанная в заявке и предлагаемая участником, меньше начальной (минимальной) цены договора, соответствующий участник </w:t>
      </w:r>
      <w:r w:rsidR="007B6487">
        <w:rPr>
          <w:rFonts w:ascii="Times New Roman" w:hAnsi="Times New Roman" w:cs="Times New Roman"/>
        </w:rPr>
        <w:t xml:space="preserve">имеет право скорректировать заявку в течение 24-х часов после уведомления о </w:t>
      </w:r>
      <w:r w:rsidR="00C1001E">
        <w:rPr>
          <w:rFonts w:ascii="Times New Roman" w:hAnsi="Times New Roman" w:cs="Times New Roman"/>
        </w:rPr>
        <w:t>не допуске</w:t>
      </w:r>
      <w:r w:rsidR="007B6487">
        <w:rPr>
          <w:rFonts w:ascii="Times New Roman" w:hAnsi="Times New Roman" w:cs="Times New Roman"/>
        </w:rPr>
        <w:t xml:space="preserve"> к участию в конкурсе.</w:t>
      </w:r>
    </w:p>
    <w:p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rsidR="00A10CEE" w:rsidRDefault="00A10CEE" w:rsidP="005F6B59">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rsidR="00A10CEE" w:rsidRPr="00A10CEE" w:rsidRDefault="007B6487" w:rsidP="00E340B4">
      <w:pPr>
        <w:ind w:firstLine="709"/>
        <w:jc w:val="both"/>
        <w:rPr>
          <w:rFonts w:ascii="Times New Roman" w:hAnsi="Times New Roman" w:cs="Times New Roman"/>
        </w:rPr>
      </w:pPr>
      <w:r>
        <w:rPr>
          <w:rFonts w:ascii="Times New Roman" w:hAnsi="Times New Roman" w:cs="Times New Roman"/>
          <w:b/>
        </w:rPr>
        <w:t>2.10</w:t>
      </w:r>
      <w:r w:rsidR="00A10CEE">
        <w:rPr>
          <w:rFonts w:ascii="Times New Roman" w:hAnsi="Times New Roman" w:cs="Times New Roman"/>
        </w:rPr>
        <w:t>.</w:t>
      </w:r>
      <w:r w:rsidR="00A10CEE" w:rsidRPr="00A10CEE">
        <w:rPr>
          <w:rFonts w:ascii="Times New Roman" w:hAnsi="Times New Roman" w:cs="Times New Roman"/>
        </w:rPr>
        <w:t xml:space="preserve"> После окончания срока подачи заявок отзыв заявок не допускается. </w:t>
      </w:r>
    </w:p>
    <w:p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w:t>
      </w:r>
      <w:r w:rsidR="007B6487">
        <w:rPr>
          <w:rFonts w:ascii="Times New Roman" w:hAnsi="Times New Roman" w:cs="Times New Roman"/>
          <w:b/>
        </w:rPr>
        <w:t>1</w:t>
      </w:r>
      <w:r w:rsidRPr="00A10CEE">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rsidR="00A10CEE" w:rsidRPr="00A10CEE" w:rsidRDefault="007B6487" w:rsidP="00E340B4">
      <w:pPr>
        <w:ind w:left="-15" w:firstLine="724"/>
        <w:jc w:val="both"/>
        <w:rPr>
          <w:rFonts w:ascii="Times New Roman" w:hAnsi="Times New Roman" w:cs="Times New Roman"/>
        </w:rPr>
      </w:pPr>
      <w:r>
        <w:rPr>
          <w:rFonts w:ascii="Times New Roman" w:hAnsi="Times New Roman" w:cs="Times New Roman"/>
          <w:b/>
        </w:rPr>
        <w:t>2.12</w:t>
      </w:r>
      <w:r w:rsidR="00A10CEE" w:rsidRPr="00A10CEE">
        <w:rPr>
          <w:rFonts w:ascii="Times New Roman" w:hAnsi="Times New Roman" w:cs="Times New Roman"/>
          <w:b/>
        </w:rPr>
        <w:t>.</w:t>
      </w:r>
      <w:r w:rsidR="00A10CEE" w:rsidRPr="00A10CEE">
        <w:rPr>
          <w:rFonts w:ascii="Times New Roman" w:eastAsia="Arial" w:hAnsi="Times New Roman" w:cs="Times New Roman"/>
        </w:rPr>
        <w:t xml:space="preserve"> </w:t>
      </w:r>
      <w:r w:rsidR="00A10CEE"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lastRenderedPageBreak/>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76"/>
        <w:gridCol w:w="6588"/>
      </w:tblGrid>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0" w:name="__UnoMark__409_3226701412111111111111111"/>
            <w:bookmarkStart w:id="1" w:name="__UnoMark__27167_32267014121111111111111"/>
            <w:bookmarkStart w:id="2" w:name="__UnoMark__4290_253925110311111111111111"/>
            <w:bookmarkEnd w:id="0"/>
            <w:bookmarkEnd w:id="1"/>
            <w:bookmarkEnd w:id="2"/>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3" w:name="__UnoMark__413_3226701412111111111111111"/>
            <w:bookmarkStart w:id="4" w:name="__UnoMark__27175_32267014121111111111111"/>
            <w:bookmarkStart w:id="5" w:name="__UnoMark__4302_253925110311111111111111"/>
            <w:bookmarkEnd w:id="3"/>
            <w:bookmarkEnd w:id="4"/>
            <w:bookmarkEnd w:id="5"/>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6" w:name="__UnoMark__417_3226701412111111111111111"/>
            <w:bookmarkStart w:id="7" w:name="__UnoMark__27183_32267014121111111111111"/>
            <w:bookmarkStart w:id="8" w:name="__UnoMark__4314_253925110311111111111111"/>
            <w:bookmarkEnd w:id="6"/>
            <w:bookmarkEnd w:id="7"/>
            <w:bookmarkEnd w:id="8"/>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9" w:name="__UnoMark__421_3226701412111111111111111"/>
            <w:bookmarkStart w:id="10" w:name="__UnoMark__27191_32267014121111111111111"/>
            <w:bookmarkStart w:id="11" w:name="__UnoMark__4326_253925110311111111111111"/>
            <w:bookmarkEnd w:id="9"/>
            <w:bookmarkEnd w:id="10"/>
            <w:bookmarkEnd w:id="11"/>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2" w:name="__UnoMark__425_3226701412111111111111111"/>
            <w:bookmarkStart w:id="13" w:name="__UnoMark__27199_32267014121111111111111"/>
            <w:bookmarkStart w:id="14" w:name="__UnoMark__4338_253925110311111111111111"/>
            <w:bookmarkEnd w:id="12"/>
            <w:bookmarkEnd w:id="13"/>
            <w:bookmarkEnd w:id="14"/>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5" w:name="__UnoMark__433_3226701412111111111111111"/>
            <w:bookmarkStart w:id="16" w:name="__UnoMark__27215_32267014121111111111111"/>
            <w:bookmarkStart w:id="17" w:name="__UnoMark__4362_253925110311111111111111"/>
            <w:bookmarkEnd w:id="15"/>
            <w:bookmarkEnd w:id="16"/>
            <w:bookmarkEnd w:id="17"/>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8" w:name="__UnoMark__437_3226701412111111111111111"/>
            <w:bookmarkStart w:id="19" w:name="__UnoMark__27223_32267014121111111111111"/>
            <w:bookmarkStart w:id="20" w:name="__UnoMark__4374_253925110311111111111111"/>
            <w:bookmarkEnd w:id="18"/>
            <w:bookmarkEnd w:id="19"/>
            <w:bookmarkEnd w:id="20"/>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г. Мурманск</w:t>
            </w:r>
            <w:bookmarkStart w:id="21" w:name="__UnoMark__441_3226701412111111111111111"/>
            <w:bookmarkStart w:id="22" w:name="__UnoMark__27231_32267014121111111111111"/>
            <w:bookmarkStart w:id="23" w:name="__UnoMark__4386_253925110311111111111111"/>
            <w:bookmarkEnd w:id="21"/>
            <w:bookmarkEnd w:id="22"/>
            <w:bookmarkEnd w:id="23"/>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c"/>
              <w:snapToGrid w:val="0"/>
              <w:spacing w:after="160"/>
              <w:rPr>
                <w:b/>
                <w:bCs/>
                <w:sz w:val="24"/>
                <w:szCs w:val="24"/>
              </w:rPr>
            </w:pPr>
            <w:r w:rsidRPr="009204F5">
              <w:rPr>
                <w:sz w:val="22"/>
                <w:szCs w:val="22"/>
              </w:rPr>
              <w:t>1155476014715</w:t>
            </w:r>
            <w:bookmarkStart w:id="24" w:name="__UnoMark__445_3226701412111111111111111"/>
            <w:bookmarkStart w:id="25" w:name="__UnoMark__27239_32267014121111111111111"/>
            <w:bookmarkStart w:id="26" w:name="__UnoMark__4398_253925110311111111111111"/>
            <w:bookmarkEnd w:id="24"/>
            <w:bookmarkEnd w:id="25"/>
            <w:bookmarkEnd w:id="26"/>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rsidR="009204F5" w:rsidRPr="00A10CEE" w:rsidRDefault="009204F5" w:rsidP="009204F5">
      <w:pPr>
        <w:ind w:left="566"/>
        <w:jc w:val="both"/>
        <w:rPr>
          <w:rStyle w:val="a8"/>
          <w:rFonts w:ascii="Times New Roman" w:hAnsi="Times New Roman" w:cs="Times New Roman"/>
          <w:color w:val="auto"/>
          <w:u w:val="none"/>
        </w:rPr>
      </w:pPr>
    </w:p>
    <w:p w:rsidR="009204F5" w:rsidRPr="009204F5" w:rsidRDefault="009204F5" w:rsidP="009204F5">
      <w:pPr>
        <w:spacing w:after="38"/>
        <w:jc w:val="both"/>
        <w:rPr>
          <w:rFonts w:ascii="Times New Roman" w:hAnsi="Times New Roman" w:cs="Times New Roman"/>
        </w:rPr>
      </w:pPr>
      <w:r w:rsidRPr="009204F5">
        <w:rPr>
          <w:rFonts w:ascii="Times New Roman" w:hAnsi="Times New Roman" w:cs="Times New Roman"/>
        </w:rPr>
        <w:t xml:space="preserve">Обеспечение должно отвечать следующим требованиям:  </w:t>
      </w:r>
    </w:p>
    <w:p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rsidR="00AD31BF" w:rsidRDefault="00AD31BF" w:rsidP="00AD31BF">
      <w:pPr>
        <w:suppressAutoHyphens w:val="0"/>
        <w:overflowPunct/>
        <w:spacing w:after="3" w:line="257" w:lineRule="auto"/>
        <w:ind w:left="556"/>
        <w:jc w:val="both"/>
        <w:rPr>
          <w:rFonts w:ascii="Times New Roman" w:hAnsi="Times New Roman" w:cs="Times New Roman"/>
        </w:rPr>
      </w:pPr>
    </w:p>
    <w:p w:rsidR="00B57507" w:rsidRDefault="00B57507" w:rsidP="00B57507">
      <w:pPr>
        <w:suppressAutoHyphens w:val="0"/>
        <w:overflowPunct/>
        <w:spacing w:after="3" w:line="257" w:lineRule="auto"/>
        <w:jc w:val="both"/>
        <w:rPr>
          <w:rFonts w:ascii="Times New Roman" w:hAnsi="Times New Roman" w:cs="Times New Roman"/>
        </w:rPr>
      </w:pPr>
    </w:p>
    <w:p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rsidR="00E340B4" w:rsidRDefault="00B57507" w:rsidP="005F6B5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переменной ставке не менее 0.5% к переменной ставке. </w:t>
      </w:r>
    </w:p>
    <w:p w:rsidR="00C1001E" w:rsidRDefault="00C1001E" w:rsidP="00B57507">
      <w:pPr>
        <w:spacing w:after="0" w:line="278" w:lineRule="auto"/>
        <w:jc w:val="both"/>
        <w:rPr>
          <w:rFonts w:ascii="Times New Roman" w:hAnsi="Times New Roman" w:cs="Times New Roman"/>
        </w:rPr>
      </w:pPr>
      <w:r>
        <w:rPr>
          <w:rFonts w:ascii="Times New Roman" w:hAnsi="Times New Roman" w:cs="Times New Roman"/>
        </w:rPr>
        <w:t>Участники процедуры имеют право в течени</w:t>
      </w:r>
      <w:proofErr w:type="gramStart"/>
      <w:r>
        <w:rPr>
          <w:rFonts w:ascii="Times New Roman" w:hAnsi="Times New Roman" w:cs="Times New Roman"/>
        </w:rPr>
        <w:t>и</w:t>
      </w:r>
      <w:proofErr w:type="gramEnd"/>
      <w:r>
        <w:rPr>
          <w:rFonts w:ascii="Times New Roman" w:hAnsi="Times New Roman" w:cs="Times New Roman"/>
        </w:rPr>
        <w:t xml:space="preserve"> трех рабочих дней после программного завершения переторжки сообщить о намерении сделать более выгодное предложение. В случае получения письменного уведомления о готовности одного из участников повысить арендную ставку, Организатор объявляет новый этап переторжки.</w:t>
      </w:r>
    </w:p>
    <w:p w:rsidR="00C1001E" w:rsidRDefault="00C1001E" w:rsidP="00B57507">
      <w:pPr>
        <w:spacing w:after="0" w:line="278" w:lineRule="auto"/>
        <w:jc w:val="both"/>
        <w:rPr>
          <w:rFonts w:ascii="Times New Roman" w:hAnsi="Times New Roman" w:cs="Times New Roman"/>
        </w:rPr>
      </w:pPr>
      <w:r>
        <w:rPr>
          <w:rFonts w:ascii="Times New Roman" w:hAnsi="Times New Roman" w:cs="Times New Roman"/>
        </w:rPr>
        <w:t>Переторжка считается состоявшейся по истечении 3-х рабочих дней после программного завершения процедуры при условии отсутствия письменных уведомлений от участников о необходимости продления переторжки. Решения участников об окончании подачи условий без указанных уведомлений</w:t>
      </w:r>
      <w:r w:rsidR="005872A2">
        <w:rPr>
          <w:rFonts w:ascii="Times New Roman" w:hAnsi="Times New Roman" w:cs="Times New Roman"/>
        </w:rPr>
        <w:t xml:space="preserve"> также признаются окончательными и не пересматриваются.</w:t>
      </w:r>
    </w:p>
    <w:p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rsidR="00192B2C" w:rsidRDefault="00192B2C" w:rsidP="00B57507">
      <w:pPr>
        <w:spacing w:after="0" w:line="278" w:lineRule="auto"/>
        <w:jc w:val="both"/>
        <w:rPr>
          <w:rFonts w:ascii="Times New Roman" w:hAnsi="Times New Roman" w:cs="Times New Roman"/>
        </w:rPr>
      </w:pPr>
      <w:r>
        <w:rPr>
          <w:rFonts w:ascii="Times New Roman" w:hAnsi="Times New Roman" w:cs="Times New Roman"/>
        </w:rPr>
        <w:t>В случае повышения в ходе переторжки начальной арендной ставки, установленной конкурсной документацией, на 30% и более Организатор конкурсной процедуры в течении 3 (трёх) рабочих дней, с момента повышения, указанного выше, имеет право изменить сумму обеспечения заявки на участие в конкурсной процедуре и сумму обеспечения исполнения договора аренды, а также истребовать от участников переторжки перечисления сумм обеспечения заявки на участие в соответствии с внесенными и</w:t>
      </w:r>
      <w:r w:rsidR="00B97B93">
        <w:rPr>
          <w:rFonts w:ascii="Times New Roman" w:hAnsi="Times New Roman" w:cs="Times New Roman"/>
        </w:rPr>
        <w:t>зменениями. Процедура</w:t>
      </w:r>
      <w:r>
        <w:rPr>
          <w:rFonts w:ascii="Times New Roman" w:hAnsi="Times New Roman" w:cs="Times New Roman"/>
        </w:rPr>
        <w:t xml:space="preserve"> переторжки при этом приостанавливается до получения Организатором сумм обеспечения заявок от Участников. </w:t>
      </w:r>
    </w:p>
    <w:p w:rsidR="00797E29" w:rsidRDefault="00797E29" w:rsidP="00B57507">
      <w:pPr>
        <w:spacing w:after="0" w:line="278" w:lineRule="auto"/>
        <w:jc w:val="both"/>
        <w:rPr>
          <w:rFonts w:ascii="Times New Roman" w:hAnsi="Times New Roman" w:cs="Times New Roman"/>
        </w:rPr>
      </w:pPr>
    </w:p>
    <w:p w:rsidR="00797E29" w:rsidRP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rsidTr="005F4ABB">
        <w:tc>
          <w:tcPr>
            <w:tcW w:w="1392" w:type="dxa"/>
          </w:tcPr>
          <w:p w:rsidR="005F4ABB" w:rsidRDefault="005F4ABB" w:rsidP="005F4ABB">
            <w:pPr>
              <w:tabs>
                <w:tab w:val="left" w:pos="4005"/>
              </w:tabs>
              <w:rPr>
                <w:rFonts w:ascii="Times New Roman" w:hAnsi="Times New Roman" w:cs="Times New Roman"/>
                <w:b/>
              </w:rPr>
            </w:pPr>
          </w:p>
          <w:p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Участника,%</w:t>
            </w:r>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438484AB" wp14:editId="4DE25FE0">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50E85352"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0084E05B" wp14:editId="049FBD95">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1C9B550A"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фикс</w:t>
            </w:r>
            <w:proofErr w:type="gramStart"/>
            <w:r>
              <w:rPr>
                <w:rFonts w:ascii="Times New Roman" w:hAnsi="Times New Roman" w:cs="Times New Roman"/>
                <w:b/>
                <w:vertAlign w:val="subscript"/>
              </w:rPr>
              <w:t>.с</w:t>
            </w:r>
            <w:proofErr w:type="gramEnd"/>
            <w:r>
              <w:rPr>
                <w:rFonts w:ascii="Times New Roman" w:hAnsi="Times New Roman" w:cs="Times New Roman"/>
                <w:b/>
                <w:vertAlign w:val="subscript"/>
              </w:rPr>
              <w:t>тавка</w:t>
            </w:r>
            <w:proofErr w:type="spell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r>
              <w:rPr>
                <w:rFonts w:ascii="Times New Roman" w:hAnsi="Times New Roman" w:cs="Times New Roman"/>
                <w:b/>
                <w:vertAlign w:val="subscript"/>
              </w:rPr>
              <w:t>Участников</w:t>
            </w:r>
            <w:proofErr w:type="gramStart"/>
            <w:r>
              <w:rPr>
                <w:rFonts w:ascii="Times New Roman" w:hAnsi="Times New Roman" w:cs="Times New Roman"/>
                <w:b/>
                <w:vertAlign w:val="subscript"/>
              </w:rPr>
              <w:t>,р</w:t>
            </w:r>
            <w:proofErr w:type="gramEnd"/>
            <w:r>
              <w:rPr>
                <w:rFonts w:ascii="Times New Roman" w:hAnsi="Times New Roman" w:cs="Times New Roman"/>
                <w:b/>
                <w:vertAlign w:val="subscript"/>
              </w:rPr>
              <w:t>уб</w:t>
            </w:r>
            <w:proofErr w:type="spellEnd"/>
            <w:r>
              <w:rPr>
                <w:rFonts w:ascii="Times New Roman" w:hAnsi="Times New Roman" w:cs="Times New Roman"/>
                <w:b/>
                <w:vertAlign w:val="subscript"/>
              </w:rPr>
              <w:t>.                                     среди Участников, %</w:t>
            </w:r>
          </w:p>
          <w:p w:rsidR="005F4ABB" w:rsidRPr="00CA4494" w:rsidRDefault="005F4ABB" w:rsidP="005F4ABB">
            <w:pPr>
              <w:tabs>
                <w:tab w:val="left" w:pos="4005"/>
              </w:tabs>
              <w:rPr>
                <w:rFonts w:ascii="Times New Roman" w:hAnsi="Times New Roman" w:cs="Times New Roman"/>
              </w:rPr>
            </w:pPr>
          </w:p>
        </w:tc>
      </w:tr>
    </w:tbl>
    <w:p w:rsidR="009204F5" w:rsidRDefault="009204F5" w:rsidP="00965320">
      <w:pPr>
        <w:tabs>
          <w:tab w:val="left" w:pos="4455"/>
        </w:tabs>
        <w:rPr>
          <w:rFonts w:ascii="Times New Roman" w:hAnsi="Times New Roman" w:cs="Times New Roman"/>
        </w:rPr>
      </w:pPr>
    </w:p>
    <w:p w:rsidR="00CA4494" w:rsidRDefault="00CA4494" w:rsidP="00325B4D">
      <w:pPr>
        <w:tabs>
          <w:tab w:val="center" w:pos="4819"/>
        </w:tabs>
        <w:spacing w:after="0"/>
        <w:rPr>
          <w:rFonts w:ascii="Times New Roman" w:hAnsi="Times New Roman" w:cs="Times New Roman"/>
          <w:b/>
          <w:vertAlign w:val="subscript"/>
        </w:rPr>
      </w:pPr>
    </w:p>
    <w:p w:rsidR="00CA4494" w:rsidRDefault="00CA4494" w:rsidP="00325B4D">
      <w:pPr>
        <w:tabs>
          <w:tab w:val="center" w:pos="4819"/>
        </w:tabs>
        <w:spacing w:after="0"/>
        <w:rPr>
          <w:rFonts w:ascii="Times New Roman" w:hAnsi="Times New Roman" w:cs="Times New Roman"/>
          <w:b/>
          <w:vertAlign w:val="subscript"/>
        </w:rPr>
      </w:pPr>
    </w:p>
    <w:p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rsidTr="00E36CEF">
        <w:tc>
          <w:tcPr>
            <w:tcW w:w="1413" w:type="dxa"/>
          </w:tcPr>
          <w:p w:rsidR="00E36CEF" w:rsidRDefault="00E36CEF" w:rsidP="00CA4494">
            <w:pPr>
              <w:tabs>
                <w:tab w:val="left" w:pos="4005"/>
              </w:tabs>
              <w:rPr>
                <w:rFonts w:ascii="Times New Roman" w:hAnsi="Times New Roman" w:cs="Times New Roman"/>
                <w:b/>
              </w:rPr>
            </w:pPr>
          </w:p>
          <w:p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1492E7B5" wp14:editId="62CFCC9D">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281D8A4A"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r w:rsidRPr="005F4ABB">
              <w:rPr>
                <w:rFonts w:ascii="Times New Roman" w:hAnsi="Times New Roman" w:cs="Times New Roman"/>
                <w:b/>
                <w:vertAlign w:val="subscript"/>
              </w:rPr>
              <w:t>фикс</w:t>
            </w:r>
            <w:proofErr w:type="gramStart"/>
            <w:r w:rsidRPr="005F4ABB">
              <w:rPr>
                <w:rFonts w:ascii="Times New Roman" w:hAnsi="Times New Roman" w:cs="Times New Roman"/>
                <w:b/>
                <w:vertAlign w:val="subscript"/>
              </w:rPr>
              <w:t>.с</w:t>
            </w:r>
            <w:proofErr w:type="gramEnd"/>
            <w:r w:rsidRPr="005F4ABB">
              <w:rPr>
                <w:rFonts w:ascii="Times New Roman" w:hAnsi="Times New Roman" w:cs="Times New Roman"/>
                <w:b/>
                <w:vertAlign w:val="subscript"/>
              </w:rPr>
              <w:t>тавка</w:t>
            </w:r>
            <w:proofErr w:type="spellEnd"/>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rsidR="005F4ABB" w:rsidRPr="005F4ABB" w:rsidRDefault="005F4ABB" w:rsidP="00CA4494">
            <w:pPr>
              <w:tabs>
                <w:tab w:val="left" w:pos="4005"/>
              </w:tabs>
              <w:rPr>
                <w:rFonts w:ascii="Times New Roman" w:hAnsi="Times New Roman" w:cs="Times New Roman"/>
              </w:rPr>
            </w:pPr>
          </w:p>
        </w:tc>
      </w:tr>
    </w:tbl>
    <w:p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rsidR="00E36CEF" w:rsidRDefault="00E36CEF" w:rsidP="00E36CEF">
      <w:pPr>
        <w:pStyle w:val="a7"/>
        <w:tabs>
          <w:tab w:val="left" w:pos="1418"/>
        </w:tabs>
        <w:ind w:left="360"/>
        <w:jc w:val="both"/>
        <w:rPr>
          <w:rFonts w:ascii="Times New Roman" w:hAnsi="Times New Roman" w:cs="Times New Roman"/>
        </w:rPr>
      </w:pPr>
    </w:p>
    <w:p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rsidTr="008165DB">
        <w:tc>
          <w:tcPr>
            <w:tcW w:w="1392" w:type="dxa"/>
          </w:tcPr>
          <w:p w:rsidR="00E36CEF" w:rsidRDefault="00E36CEF" w:rsidP="00E36CEF">
            <w:pPr>
              <w:pStyle w:val="a7"/>
              <w:tabs>
                <w:tab w:val="left" w:pos="1418"/>
              </w:tabs>
              <w:ind w:left="0"/>
              <w:jc w:val="both"/>
              <w:rPr>
                <w:rFonts w:ascii="Times New Roman" w:hAnsi="Times New Roman" w:cs="Times New Roman"/>
                <w:b/>
              </w:rPr>
            </w:pPr>
          </w:p>
          <w:p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r w:rsidRPr="00E36CEF">
              <w:rPr>
                <w:rFonts w:ascii="Times New Roman" w:hAnsi="Times New Roman" w:cs="Times New Roman"/>
                <w:b/>
                <w:vertAlign w:val="superscript"/>
              </w:rPr>
              <w:t>Участника</w:t>
            </w:r>
            <w:proofErr w:type="gramStart"/>
            <w:r w:rsidRPr="00E36CEF">
              <w:rPr>
                <w:rFonts w:ascii="Times New Roman" w:hAnsi="Times New Roman" w:cs="Times New Roman"/>
                <w:b/>
                <w:vertAlign w:val="superscript"/>
              </w:rPr>
              <w:t>,р</w:t>
            </w:r>
            <w:proofErr w:type="gramEnd"/>
            <w:r w:rsidRPr="00E36CEF">
              <w:rPr>
                <w:rFonts w:ascii="Times New Roman" w:hAnsi="Times New Roman" w:cs="Times New Roman"/>
                <w:b/>
                <w:vertAlign w:val="superscript"/>
              </w:rPr>
              <w:t>уб</w:t>
            </w:r>
            <w:proofErr w:type="spellEnd"/>
            <w:r w:rsidRPr="00E36CEF">
              <w:rPr>
                <w:rFonts w:ascii="Times New Roman" w:hAnsi="Times New Roman" w:cs="Times New Roman"/>
                <w:b/>
                <w:vertAlign w:val="superscript"/>
              </w:rPr>
              <w:t>.</w:t>
            </w:r>
          </w:p>
          <w:p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7C3FC720" wp14:editId="35C6FFC0">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37288B61"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r w:rsidRPr="00E36CEF">
              <w:rPr>
                <w:rFonts w:ascii="Times New Roman" w:hAnsi="Times New Roman" w:cs="Times New Roman"/>
                <w:b/>
                <w:vertAlign w:val="subscript"/>
              </w:rPr>
              <w:t>фикс</w:t>
            </w:r>
            <w:proofErr w:type="gramStart"/>
            <w:r w:rsidRPr="00E36CEF">
              <w:rPr>
                <w:rFonts w:ascii="Times New Roman" w:hAnsi="Times New Roman" w:cs="Times New Roman"/>
                <w:b/>
                <w:vertAlign w:val="subscript"/>
              </w:rPr>
              <w:t>.с</w:t>
            </w:r>
            <w:proofErr w:type="gramEnd"/>
            <w:r w:rsidRPr="00E36CEF">
              <w:rPr>
                <w:rFonts w:ascii="Times New Roman" w:hAnsi="Times New Roman" w:cs="Times New Roman"/>
                <w:b/>
                <w:vertAlign w:val="subscript"/>
              </w:rPr>
              <w:t>тавка</w:t>
            </w:r>
            <w:proofErr w:type="spellEnd"/>
          </w:p>
          <w:p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r w:rsidRPr="00E36CEF">
              <w:rPr>
                <w:rFonts w:ascii="Times New Roman" w:hAnsi="Times New Roman" w:cs="Times New Roman"/>
                <w:b/>
                <w:vertAlign w:val="subscript"/>
              </w:rPr>
              <w:t>Участников</w:t>
            </w:r>
            <w:proofErr w:type="gramStart"/>
            <w:r w:rsidRPr="00E36CEF">
              <w:rPr>
                <w:rFonts w:ascii="Times New Roman" w:hAnsi="Times New Roman" w:cs="Times New Roman"/>
                <w:b/>
                <w:vertAlign w:val="subscript"/>
              </w:rPr>
              <w:t>,р</w:t>
            </w:r>
            <w:proofErr w:type="gramEnd"/>
            <w:r w:rsidRPr="00E36CEF">
              <w:rPr>
                <w:rFonts w:ascii="Times New Roman" w:hAnsi="Times New Roman" w:cs="Times New Roman"/>
                <w:b/>
                <w:vertAlign w:val="subscript"/>
              </w:rPr>
              <w:t>уб</w:t>
            </w:r>
            <w:proofErr w:type="spellEnd"/>
            <w:r>
              <w:rPr>
                <w:rFonts w:ascii="Times New Roman" w:hAnsi="Times New Roman" w:cs="Times New Roman"/>
                <w:vertAlign w:val="subscript"/>
              </w:rPr>
              <w:t>.</w:t>
            </w:r>
          </w:p>
          <w:p w:rsidR="00E36CEF" w:rsidRDefault="00E36CEF" w:rsidP="00E36CEF">
            <w:pPr>
              <w:pStyle w:val="a7"/>
              <w:tabs>
                <w:tab w:val="left" w:pos="1418"/>
              </w:tabs>
              <w:ind w:left="0"/>
              <w:jc w:val="both"/>
              <w:rPr>
                <w:rFonts w:ascii="Times New Roman" w:hAnsi="Times New Roman" w:cs="Times New Roman"/>
              </w:rPr>
            </w:pPr>
          </w:p>
        </w:tc>
        <w:tc>
          <w:tcPr>
            <w:tcW w:w="2835" w:type="dxa"/>
          </w:tcPr>
          <w:p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Участника,%</w:t>
            </w:r>
          </w:p>
          <w:p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DA768DE" wp14:editId="6A6EC00C">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6E38F35A"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r w:rsidRPr="001F2E63">
              <w:rPr>
                <w:rFonts w:ascii="Times New Roman" w:hAnsi="Times New Roman" w:cs="Times New Roman"/>
                <w:b/>
              </w:rPr>
              <w:t>5</w:t>
            </w:r>
            <w:r>
              <w:rPr>
                <w:rFonts w:ascii="Times New Roman" w:hAnsi="Times New Roman" w:cs="Times New Roman"/>
                <w:b/>
              </w:rPr>
              <w:t xml:space="preserve">  +</w:t>
            </w:r>
          </w:p>
          <w:p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r>
              <w:rPr>
                <w:rFonts w:ascii="Times New Roman" w:hAnsi="Times New Roman" w:cs="Times New Roman"/>
                <w:b/>
                <w:vertAlign w:val="subscript"/>
              </w:rPr>
              <w:t>переменн</w:t>
            </w:r>
            <w:proofErr w:type="gramStart"/>
            <w:r>
              <w:rPr>
                <w:rFonts w:ascii="Times New Roman" w:hAnsi="Times New Roman" w:cs="Times New Roman"/>
                <w:b/>
                <w:vertAlign w:val="subscript"/>
              </w:rPr>
              <w:t>.с</w:t>
            </w:r>
            <w:proofErr w:type="gramEnd"/>
            <w:r>
              <w:rPr>
                <w:rFonts w:ascii="Times New Roman" w:hAnsi="Times New Roman" w:cs="Times New Roman"/>
                <w:b/>
                <w:vertAlign w:val="subscript"/>
              </w:rPr>
              <w:t>тавка</w:t>
            </w:r>
            <w:proofErr w:type="spellEnd"/>
          </w:p>
          <w:p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rsidR="001F2E63" w:rsidRDefault="001F2E63" w:rsidP="00E36CEF">
            <w:pPr>
              <w:pStyle w:val="a7"/>
              <w:tabs>
                <w:tab w:val="left" w:pos="1418"/>
              </w:tabs>
              <w:ind w:left="0"/>
              <w:jc w:val="both"/>
              <w:rPr>
                <w:rFonts w:ascii="Times New Roman" w:hAnsi="Times New Roman" w:cs="Times New Roman"/>
              </w:rPr>
            </w:pPr>
          </w:p>
          <w:p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46E39FA0" wp14:editId="256F9ED5">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http://schemas.microsoft.com/office/drawing/2014/chartex">
                  <w:pict>
                    <v:group w14:anchorId="0E91AEA3"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rsidTr="008165DB">
        <w:tc>
          <w:tcPr>
            <w:tcW w:w="1392" w:type="dxa"/>
          </w:tcPr>
          <w:p w:rsidR="008165DB" w:rsidRDefault="008165DB" w:rsidP="00E36CEF">
            <w:pPr>
              <w:pStyle w:val="a7"/>
              <w:tabs>
                <w:tab w:val="left" w:pos="1418"/>
              </w:tabs>
              <w:ind w:left="0"/>
              <w:jc w:val="both"/>
              <w:rPr>
                <w:rFonts w:ascii="Times New Roman" w:hAnsi="Times New Roman" w:cs="Times New Roman"/>
                <w:b/>
              </w:rPr>
            </w:pPr>
          </w:p>
        </w:tc>
        <w:tc>
          <w:tcPr>
            <w:tcW w:w="3002" w:type="dxa"/>
          </w:tcPr>
          <w:p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rsidR="008165DB" w:rsidRDefault="008165DB" w:rsidP="00E36CEF">
            <w:pPr>
              <w:pStyle w:val="a7"/>
              <w:tabs>
                <w:tab w:val="left" w:pos="1418"/>
              </w:tabs>
              <w:ind w:left="0"/>
              <w:jc w:val="both"/>
              <w:rPr>
                <w:rFonts w:ascii="Times New Roman" w:hAnsi="Times New Roman" w:cs="Times New Roman"/>
                <w:b/>
              </w:rPr>
            </w:pPr>
          </w:p>
        </w:tc>
        <w:tc>
          <w:tcPr>
            <w:tcW w:w="2263" w:type="dxa"/>
          </w:tcPr>
          <w:p w:rsidR="008165DB" w:rsidRDefault="008165DB" w:rsidP="00E36CEF">
            <w:pPr>
              <w:pStyle w:val="a7"/>
              <w:tabs>
                <w:tab w:val="left" w:pos="1418"/>
              </w:tabs>
              <w:ind w:left="0"/>
              <w:jc w:val="both"/>
              <w:rPr>
                <w:rFonts w:ascii="Times New Roman" w:hAnsi="Times New Roman" w:cs="Times New Roman"/>
              </w:rPr>
            </w:pPr>
          </w:p>
        </w:tc>
      </w:tr>
    </w:tbl>
    <w:p w:rsidR="00E340B4" w:rsidRPr="00D345EC" w:rsidRDefault="008165DB" w:rsidP="00D345EC">
      <w:pPr>
        <w:pStyle w:val="a7"/>
        <w:numPr>
          <w:ilvl w:val="1"/>
          <w:numId w:val="7"/>
        </w:numPr>
        <w:jc w:val="both"/>
        <w:rPr>
          <w:rFonts w:ascii="Times New Roman" w:eastAsia="Times New Roman" w:hAnsi="Times New Roman" w:cs="Times New Roman"/>
          <w:b/>
        </w:rPr>
      </w:pPr>
      <w:r w:rsidRPr="00D345EC">
        <w:rPr>
          <w:rFonts w:ascii="Times New Roman" w:eastAsia="Times New Roman" w:hAnsi="Times New Roman" w:cs="Times New Roman"/>
          <w:b/>
        </w:rPr>
        <w:t xml:space="preserve">Итоговая оценка заявки: </w:t>
      </w:r>
    </w:p>
    <w:p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rsidR="008165DB" w:rsidRPr="008165DB" w:rsidRDefault="008165DB" w:rsidP="00B97B93">
      <w:pPr>
        <w:ind w:left="566"/>
        <w:jc w:val="both"/>
        <w:rPr>
          <w:rFonts w:ascii="Times New Roman" w:hAnsi="Times New Roman" w:cs="Times New Roman"/>
        </w:rPr>
      </w:pPr>
      <w:r w:rsidRPr="008165DB">
        <w:rPr>
          <w:rFonts w:ascii="Times New Roman" w:hAnsi="Times New Roman" w:cs="Times New Roman"/>
        </w:rPr>
        <w:t>Победителем признается учас</w:t>
      </w:r>
      <w:bookmarkStart w:id="27" w:name="_GoBack"/>
      <w:bookmarkEnd w:id="27"/>
      <w:r w:rsidRPr="008165DB">
        <w:rPr>
          <w:rFonts w:ascii="Times New Roman" w:hAnsi="Times New Roman" w:cs="Times New Roman"/>
        </w:rPr>
        <w:t xml:space="preserve">тник, заявке которого присвоен первый номер.  </w:t>
      </w:r>
    </w:p>
    <w:p w:rsidR="008165DB" w:rsidRPr="00D345EC" w:rsidRDefault="008165DB" w:rsidP="00D345EC">
      <w:pPr>
        <w:pStyle w:val="a7"/>
        <w:numPr>
          <w:ilvl w:val="1"/>
          <w:numId w:val="7"/>
        </w:numPr>
        <w:spacing w:after="19"/>
        <w:ind w:right="7"/>
        <w:jc w:val="both"/>
        <w:rPr>
          <w:rFonts w:ascii="Times New Roman" w:hAnsi="Times New Roman" w:cs="Times New Roman"/>
        </w:rPr>
      </w:pPr>
      <w:r w:rsidRPr="00D345EC">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p w:rsidR="00E36CEF" w:rsidRPr="00E36CEF" w:rsidRDefault="00D345EC" w:rsidP="00B97B93">
      <w:pPr>
        <w:pStyle w:val="a7"/>
        <w:numPr>
          <w:ilvl w:val="1"/>
          <w:numId w:val="7"/>
        </w:numPr>
        <w:spacing w:after="19"/>
        <w:ind w:right="7"/>
        <w:jc w:val="both"/>
        <w:rPr>
          <w:rFonts w:ascii="Times New Roman" w:hAnsi="Times New Roman" w:cs="Times New Roman"/>
        </w:rPr>
      </w:pPr>
      <w:r>
        <w:rPr>
          <w:rFonts w:ascii="Times New Roman" w:hAnsi="Times New Roman" w:cs="Times New Roman"/>
        </w:rPr>
        <w:t>В случае отказа победителя от подписания договора после получения им уведомления о признании победителем, Организатор</w:t>
      </w:r>
      <w:r w:rsidR="00B97B93">
        <w:rPr>
          <w:rFonts w:ascii="Times New Roman" w:hAnsi="Times New Roman" w:cs="Times New Roman"/>
        </w:rPr>
        <w:t xml:space="preserve"> имеет право пересмотреть итоги конкурсной процедуры в пользу участника, занявшего второе место по результатам оценки заявок.</w:t>
      </w:r>
      <w:r w:rsidR="00B97B93" w:rsidRPr="00E36CEF">
        <w:rPr>
          <w:rFonts w:ascii="Times New Roman" w:hAnsi="Times New Roman" w:cs="Times New Roman"/>
        </w:rPr>
        <w:t xml:space="preserve"> </w:t>
      </w:r>
    </w:p>
    <w:sectPr w:rsidR="00E36CEF" w:rsidRPr="00E36CEF" w:rsidSect="00AD31BF">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CB" w:rsidRDefault="009755CB" w:rsidP="009755CB">
      <w:pPr>
        <w:spacing w:after="0" w:line="240" w:lineRule="auto"/>
      </w:pPr>
      <w:r>
        <w:separator/>
      </w:r>
    </w:p>
  </w:endnote>
  <w:endnote w:type="continuationSeparator" w:id="0">
    <w:p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CB" w:rsidRDefault="009755CB" w:rsidP="009755CB">
      <w:pPr>
        <w:spacing w:after="0" w:line="240" w:lineRule="auto"/>
      </w:pPr>
      <w:r>
        <w:separator/>
      </w:r>
    </w:p>
  </w:footnote>
  <w:footnote w:type="continuationSeparator" w:id="0">
    <w:p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4" w:type="dxa"/>
      <w:tblInd w:w="-503" w:type="dxa"/>
      <w:tblLayout w:type="fixed"/>
      <w:tblCellMar>
        <w:top w:w="72" w:type="dxa"/>
        <w:left w:w="115" w:type="dxa"/>
        <w:bottom w:w="72" w:type="dxa"/>
        <w:right w:w="115" w:type="dxa"/>
      </w:tblCellMar>
      <w:tblLook w:val="04A0" w:firstRow="1" w:lastRow="0" w:firstColumn="1" w:lastColumn="0" w:noHBand="0" w:noVBand="1"/>
    </w:tblPr>
    <w:tblGrid>
      <w:gridCol w:w="10824"/>
    </w:tblGrid>
    <w:tr w:rsidR="002429B9" w:rsidTr="00912494">
      <w:trPr>
        <w:trHeight w:val="638"/>
      </w:trPr>
      <w:tc>
        <w:tcPr>
          <w:tcW w:w="10824" w:type="dxa"/>
          <w:tcBorders>
            <w:bottom w:val="single" w:sz="18" w:space="0" w:color="808080"/>
          </w:tcBorders>
        </w:tcPr>
        <w:tbl>
          <w:tblPr>
            <w:tblStyle w:val="a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4296"/>
            <w:gridCol w:w="3006"/>
          </w:tblGrid>
          <w:tr w:rsidR="002429B9" w:rsidTr="00912494">
            <w:trPr>
              <w:trHeight w:val="1398"/>
            </w:trPr>
            <w:tc>
              <w:tcPr>
                <w:tcW w:w="3046" w:type="dxa"/>
              </w:tcPr>
              <w:p w:rsidR="002429B9" w:rsidRDefault="002429B9" w:rsidP="00912494">
                <w:pPr>
                  <w:rPr>
                    <w:rFonts w:ascii="Times New Roman" w:eastAsia="Times New Roman" w:hAnsi="Times New Roman" w:cs="Times New Roman"/>
                    <w:sz w:val="24"/>
                  </w:rPr>
                </w:pPr>
                <w:r>
                  <w:rPr>
                    <w:noProof/>
                    <w:lang w:eastAsia="ru-RU"/>
                  </w:rPr>
                  <mc:AlternateContent>
                    <mc:Choice Requires="wpg">
                      <w:drawing>
                        <wp:anchor distT="0" distB="0" distL="114300" distR="114300" simplePos="0" relativeHeight="251667456" behindDoc="0" locked="0" layoutInCell="1" allowOverlap="1" wp14:anchorId="056CF6FA" wp14:editId="404B96AF">
                          <wp:simplePos x="0" y="0"/>
                          <wp:positionH relativeFrom="page">
                            <wp:posOffset>6985</wp:posOffset>
                          </wp:positionH>
                          <wp:positionV relativeFrom="page">
                            <wp:posOffset>111125</wp:posOffset>
                          </wp:positionV>
                          <wp:extent cx="1762125" cy="742950"/>
                          <wp:effectExtent l="0" t="0" r="9525" b="0"/>
                          <wp:wrapSquare wrapText="bothSides"/>
                          <wp:docPr id="1" name="Group 8218"/>
                          <wp:cNvGraphicFramePr/>
                          <a:graphic xmlns:a="http://schemas.openxmlformats.org/drawingml/2006/main">
                            <a:graphicData uri="http://schemas.microsoft.com/office/word/2010/wordprocessingGroup">
                              <wpg:wgp>
                                <wpg:cNvGrpSpPr/>
                                <wpg:grpSpPr>
                                  <a:xfrm>
                                    <a:off x="0" y="0"/>
                                    <a:ext cx="1762125" cy="742950"/>
                                    <a:chOff x="0" y="0"/>
                                    <a:chExt cx="1797050" cy="723265"/>
                                  </a:xfrm>
                                </wpg:grpSpPr>
                                <wps:wsp>
                                  <wps:cNvPr id="2" name="Rectangle 8220"/>
                                  <wps:cNvSpPr/>
                                  <wps:spPr>
                                    <a:xfrm>
                                      <a:off x="871398" y="5816"/>
                                      <a:ext cx="50673" cy="224380"/>
                                    </a:xfrm>
                                    <a:prstGeom prst="rect">
                                      <a:avLst/>
                                    </a:prstGeom>
                                    <a:ln>
                                      <a:noFill/>
                                    </a:ln>
                                  </wps:spPr>
                                  <wps:txbx>
                                    <w:txbxContent>
                                      <w:p w:rsidR="002429B9" w:rsidRDefault="002429B9" w:rsidP="002429B9">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 name="Picture 8219"/>
                                    <pic:cNvPicPr/>
                                  </pic:nvPicPr>
                                  <pic:blipFill>
                                    <a:blip r:embed="rId1"/>
                                    <a:stretch>
                                      <a:fillRect/>
                                    </a:stretch>
                                  </pic:blipFill>
                                  <pic:spPr>
                                    <a:xfrm>
                                      <a:off x="0" y="0"/>
                                      <a:ext cx="1797050" cy="723265"/>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056CF6FA" id="Group 8218" o:spid="_x0000_s1026" style="position:absolute;margin-left:.55pt;margin-top:8.75pt;width:138.75pt;height:58.5pt;z-index:251667456;mso-position-horizontal-relative:page;mso-position-vertical-relative:page;mso-width-relative:margin;mso-height-relative:margin" coordsize="17970,72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">
                          <v:rect id="Rectangle 8220" o:spid="_x0000_s1027" style="position:absolute;left:8713;top: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2429B9" w:rsidRDefault="002429B9" w:rsidP="002429B9">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9" o:spid="_x0000_s1028" type="#_x0000_t75" style="position:absolute;width:17970;height:7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">
                            <v:imagedata r:id="rId2" o:title=""/>
                          </v:shape>
                          <w10:wrap type="square" anchorx="page" anchory="page"/>
                        </v:group>
                      </w:pict>
                    </mc:Fallback>
                  </mc:AlternateContent>
                </w:r>
              </w:p>
            </w:tc>
            <w:tc>
              <w:tcPr>
                <w:tcW w:w="4296" w:type="dxa"/>
              </w:tcPr>
              <w:p w:rsidR="002429B9" w:rsidRDefault="002429B9" w:rsidP="002429B9">
                <w:pPr>
                  <w:pStyle w:val="a3"/>
                  <w:tabs>
                    <w:tab w:val="clear" w:pos="9355"/>
                  </w:tabs>
                  <w:jc w:val="center"/>
                  <w:rPr>
                    <w:rFonts w:ascii="Times New Roman" w:hAnsi="Times New Roman" w:cs="Times New Roman"/>
                  </w:rPr>
                </w:pPr>
                <w:r>
                  <w:rPr>
                    <w:rFonts w:ascii="Times New Roman" w:hAnsi="Times New Roman" w:cs="Times New Roman"/>
                  </w:rPr>
                  <w:t xml:space="preserve">Правила проведения открытых </w:t>
                </w:r>
                <w:r w:rsidRPr="00964C25">
                  <w:rPr>
                    <w:rFonts w:ascii="Times New Roman" w:hAnsi="Times New Roman" w:cs="Times New Roman"/>
                  </w:rPr>
                  <w:t>конкурсных процедур</w:t>
                </w:r>
                <w:r>
                  <w:rPr>
                    <w:rFonts w:ascii="Times New Roman" w:hAnsi="Times New Roman" w:cs="Times New Roman"/>
                  </w:rPr>
                  <w:t xml:space="preserve"> </w:t>
                </w:r>
                <w:r w:rsidRPr="00964C25">
                  <w:rPr>
                    <w:rFonts w:ascii="Times New Roman" w:hAnsi="Times New Roman" w:cs="Times New Roman"/>
                  </w:rPr>
                  <w:t>на право заключения договора аренды</w:t>
                </w:r>
                <w:r>
                  <w:rPr>
                    <w:rFonts w:ascii="Times New Roman" w:hAnsi="Times New Roman" w:cs="Times New Roman"/>
                  </w:rPr>
                  <w:t xml:space="preserve"> </w:t>
                </w:r>
                <w:r w:rsidRPr="00964C25">
                  <w:rPr>
                    <w:rFonts w:ascii="Times New Roman" w:hAnsi="Times New Roman" w:cs="Times New Roman"/>
                  </w:rPr>
                  <w:t>на территории</w:t>
                </w:r>
                <w:r>
                  <w:rPr>
                    <w:rFonts w:ascii="Times New Roman" w:hAnsi="Times New Roman" w:cs="Times New Roman"/>
                  </w:rPr>
                  <w:t xml:space="preserve"> </w:t>
                </w:r>
                <w:r w:rsidRPr="00964C25">
                  <w:rPr>
                    <w:rFonts w:ascii="Times New Roman" w:hAnsi="Times New Roman" w:cs="Times New Roman"/>
                  </w:rPr>
                  <w:t>Международного аэропорта «Мурманск»</w:t>
                </w:r>
              </w:p>
              <w:p w:rsidR="002429B9" w:rsidRPr="00BE5610" w:rsidRDefault="002429B9" w:rsidP="00912494">
                <w:pPr>
                  <w:jc w:val="center"/>
                  <w:rPr>
                    <w:rFonts w:ascii="Times New Roman" w:eastAsia="Times New Roman" w:hAnsi="Times New Roman" w:cs="Times New Roman"/>
                  </w:rPr>
                </w:pPr>
              </w:p>
            </w:tc>
            <w:tc>
              <w:tcPr>
                <w:tcW w:w="3006" w:type="dxa"/>
                <w:vAlign w:val="center"/>
              </w:tcPr>
              <w:p w:rsidR="002429B9" w:rsidRDefault="002429B9" w:rsidP="00912494">
                <w:pPr>
                  <w:jc w:val="center"/>
                  <w:rPr>
                    <w:rFonts w:ascii="Times New Roman" w:eastAsia="Times New Roman" w:hAnsi="Times New Roman" w:cs="Times New Roman"/>
                    <w:sz w:val="24"/>
                  </w:rPr>
                </w:pPr>
                <w:r w:rsidRPr="00964C25">
                  <w:rPr>
                    <w:noProof/>
                    <w:lang w:eastAsia="ru-RU"/>
                  </w:rPr>
                  <w:drawing>
                    <wp:anchor distT="0" distB="0" distL="114300" distR="114300" simplePos="0" relativeHeight="251668480" behindDoc="0" locked="0" layoutInCell="1" allowOverlap="1" wp14:anchorId="2EE08474" wp14:editId="7646178D">
                      <wp:simplePos x="0" y="0"/>
                      <wp:positionH relativeFrom="column">
                        <wp:posOffset>-5080</wp:posOffset>
                      </wp:positionH>
                      <wp:positionV relativeFrom="paragraph">
                        <wp:posOffset>-405765</wp:posOffset>
                      </wp:positionV>
                      <wp:extent cx="1762125" cy="409575"/>
                      <wp:effectExtent l="0" t="0" r="9525" b="9525"/>
                      <wp:wrapSquare wrapText="bothSides"/>
                      <wp:docPr id="8"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762125" cy="4095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2429B9" w:rsidRDefault="002429B9" w:rsidP="00912494">
          <w:pPr>
            <w:jc w:val="center"/>
            <w:rPr>
              <w:b/>
              <w:color w:val="44546A" w:themeColor="text2"/>
            </w:rPr>
          </w:pPr>
        </w:p>
      </w:tc>
    </w:tr>
  </w:tbl>
  <w:tbl>
    <w:tblPr>
      <w:tblStyle w:val="ad"/>
      <w:tblW w:w="11029" w:type="dxa"/>
      <w:tblInd w:w="-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4347"/>
      <w:gridCol w:w="3349"/>
    </w:tblGrid>
    <w:tr w:rsidR="002429B9" w:rsidTr="002429B9">
      <w:trPr>
        <w:trHeight w:val="287"/>
      </w:trPr>
      <w:tc>
        <w:tcPr>
          <w:tcW w:w="3333" w:type="dxa"/>
          <w:vAlign w:val="center"/>
        </w:tcPr>
        <w:p w:rsidR="002429B9" w:rsidRPr="00964C25" w:rsidRDefault="002429B9" w:rsidP="00AD31BF">
          <w:pPr>
            <w:pStyle w:val="a3"/>
            <w:tabs>
              <w:tab w:val="clear" w:pos="9355"/>
            </w:tabs>
            <w:rPr>
              <w:rFonts w:ascii="Times New Roman" w:hAnsi="Times New Roman" w:cs="Times New Roman"/>
              <w:noProof/>
              <w:lang w:eastAsia="ru-RU"/>
            </w:rPr>
          </w:pPr>
        </w:p>
      </w:tc>
      <w:tc>
        <w:tcPr>
          <w:tcW w:w="4347" w:type="dxa"/>
          <w:vAlign w:val="center"/>
        </w:tcPr>
        <w:p w:rsidR="002429B9" w:rsidRDefault="002429B9" w:rsidP="002429B9">
          <w:pPr>
            <w:pStyle w:val="a3"/>
            <w:tabs>
              <w:tab w:val="clear" w:pos="9355"/>
            </w:tabs>
            <w:rPr>
              <w:rFonts w:ascii="Times New Roman" w:hAnsi="Times New Roman" w:cs="Times New Roman"/>
            </w:rPr>
          </w:pPr>
        </w:p>
      </w:tc>
      <w:tc>
        <w:tcPr>
          <w:tcW w:w="3349" w:type="dxa"/>
        </w:tcPr>
        <w:p w:rsidR="002429B9" w:rsidRPr="00964C25" w:rsidRDefault="002429B9" w:rsidP="00964C25">
          <w:pPr>
            <w:pStyle w:val="a3"/>
            <w:tabs>
              <w:tab w:val="clear" w:pos="9355"/>
            </w:tabs>
            <w:jc w:val="center"/>
            <w:rPr>
              <w:rFonts w:ascii="Times New Roman" w:hAnsi="Times New Roman" w:cs="Times New Roman"/>
              <w:noProof/>
              <w:lang w:eastAsia="ru-RU"/>
            </w:rPr>
          </w:pPr>
        </w:p>
      </w:tc>
    </w:tr>
  </w:tbl>
  <w:p w:rsidR="007F4FF0" w:rsidRPr="00964C25" w:rsidRDefault="007F4FF0" w:rsidP="00964C25">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1737ED2"/>
    <w:multiLevelType w:val="multilevel"/>
    <w:tmpl w:val="3D88F110"/>
    <w:lvl w:ilvl="0">
      <w:start w:val="4"/>
      <w:numFmt w:val="decimal"/>
      <w:lvlText w:val="%1"/>
      <w:lvlJc w:val="left"/>
      <w:pPr>
        <w:ind w:left="384" w:hanging="384"/>
      </w:pPr>
      <w:rPr>
        <w:rFonts w:hint="default"/>
      </w:rPr>
    </w:lvl>
    <w:lvl w:ilvl="1">
      <w:start w:val="10"/>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6">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6"/>
  </w:num>
  <w:num w:numId="3">
    <w:abstractNumId w:val="5"/>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C"/>
    <w:rsid w:val="00192B2C"/>
    <w:rsid w:val="001F2E63"/>
    <w:rsid w:val="002429B9"/>
    <w:rsid w:val="00325B4D"/>
    <w:rsid w:val="00361E72"/>
    <w:rsid w:val="00395E00"/>
    <w:rsid w:val="004E105C"/>
    <w:rsid w:val="005872A2"/>
    <w:rsid w:val="005F4ABB"/>
    <w:rsid w:val="005F6B59"/>
    <w:rsid w:val="006C108F"/>
    <w:rsid w:val="006D158F"/>
    <w:rsid w:val="006E1861"/>
    <w:rsid w:val="00797E29"/>
    <w:rsid w:val="007B6487"/>
    <w:rsid w:val="007F4FF0"/>
    <w:rsid w:val="00805F42"/>
    <w:rsid w:val="008165DB"/>
    <w:rsid w:val="00904BC4"/>
    <w:rsid w:val="009204F5"/>
    <w:rsid w:val="00964C25"/>
    <w:rsid w:val="00965320"/>
    <w:rsid w:val="009755CB"/>
    <w:rsid w:val="00A10CEE"/>
    <w:rsid w:val="00A13F00"/>
    <w:rsid w:val="00AD31BF"/>
    <w:rsid w:val="00AF6147"/>
    <w:rsid w:val="00B57507"/>
    <w:rsid w:val="00B6681D"/>
    <w:rsid w:val="00B97B93"/>
    <w:rsid w:val="00BD6BF9"/>
    <w:rsid w:val="00C1001E"/>
    <w:rsid w:val="00C32A5F"/>
    <w:rsid w:val="00CA4494"/>
    <w:rsid w:val="00D345EC"/>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kupki.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zakupk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upk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o@airport-murmansk.ru" TargetMode="External"/><Relationship Id="rId4" Type="http://schemas.microsoft.com/office/2007/relationships/stylesWithEffects" Target="stylesWithEffects.xml"/><Relationship Id="rId9" Type="http://schemas.openxmlformats.org/officeDocument/2006/relationships/hyperlink" Target="mailto:ko@airport-murmansk.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D29D-0F09-444F-AA4C-AB9A27BC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7</Pages>
  <Words>2428</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Смотрова Анастасия Сергеевна</cp:lastModifiedBy>
  <cp:revision>11</cp:revision>
  <cp:lastPrinted>2023-02-06T11:06:00Z</cp:lastPrinted>
  <dcterms:created xsi:type="dcterms:W3CDTF">2022-11-21T11:14:00Z</dcterms:created>
  <dcterms:modified xsi:type="dcterms:W3CDTF">2024-02-08T08:07:00Z</dcterms:modified>
</cp:coreProperties>
</file>